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5F" w:rsidRPr="00F86CE2" w:rsidRDefault="00B3075F" w:rsidP="00B3075F">
      <w:pPr>
        <w:pStyle w:val="Heading1"/>
      </w:pPr>
      <w:proofErr w:type="spellStart"/>
      <w:r w:rsidRPr="00F86CE2">
        <w:t>Met</w:t>
      </w:r>
      <w:r w:rsidR="0017438C">
        <w:t>apoznanie</w:t>
      </w:r>
      <w:proofErr w:type="spellEnd"/>
      <w:r w:rsidR="0017438C">
        <w:t xml:space="preserve"> na lekcjach fizyki-metoda badań własnyc</w:t>
      </w:r>
      <w:bookmarkStart w:id="0" w:name="_GoBack"/>
      <w:bookmarkEnd w:id="0"/>
      <w:r w:rsidR="0017438C">
        <w:t>h</w:t>
      </w:r>
    </w:p>
    <w:p w:rsidR="00B3075F" w:rsidRDefault="00B3075F" w:rsidP="00B3075F">
      <w:r w:rsidRPr="00F86CE2">
        <w:t xml:space="preserve">Dotychczasowe badania sprawdzające wpływ </w:t>
      </w:r>
      <w:proofErr w:type="spellStart"/>
      <w:r w:rsidRPr="00F86CE2">
        <w:t>metapo</w:t>
      </w:r>
      <w:r>
        <w:t>znania</w:t>
      </w:r>
      <w:proofErr w:type="spellEnd"/>
      <w:r>
        <w:t xml:space="preserve"> na sukces szkolny</w:t>
      </w:r>
      <w:r w:rsidRPr="00F86CE2">
        <w:t xml:space="preserve"> potwierdzają istnienie takiej zależności. Niniejsza praca wpisuje się w nurt tych rozważań</w:t>
      </w:r>
      <w:r>
        <w:t xml:space="preserve"> i ma na celu określić </w:t>
      </w:r>
      <w:r w:rsidRPr="00F86CE2">
        <w:t xml:space="preserve"> zależnoś</w:t>
      </w:r>
      <w:r>
        <w:t>ci</w:t>
      </w:r>
      <w:r w:rsidRPr="00F86CE2">
        <w:t xml:space="preserve"> mi</w:t>
      </w:r>
      <w:r>
        <w:t>ę</w:t>
      </w:r>
      <w:r w:rsidRPr="00F86CE2">
        <w:t xml:space="preserve">dzy nabytymi w wyniku </w:t>
      </w:r>
      <w:r>
        <w:t xml:space="preserve">treningu </w:t>
      </w:r>
      <w:r w:rsidRPr="00F86CE2">
        <w:t xml:space="preserve"> </w:t>
      </w:r>
      <w:r>
        <w:t xml:space="preserve">umiejętnościami </w:t>
      </w:r>
      <w:proofErr w:type="spellStart"/>
      <w:r>
        <w:t>metapoznawczymi</w:t>
      </w:r>
      <w:proofErr w:type="spellEnd"/>
      <w:r>
        <w:t>,</w:t>
      </w:r>
      <w:r w:rsidRPr="00F86CE2">
        <w:t xml:space="preserve"> a powodzeniem w rozwiązywaniu zadań otwartych z</w:t>
      </w:r>
      <w:r>
        <w:t> fizyki.</w:t>
      </w:r>
    </w:p>
    <w:p w:rsidR="00B3075F" w:rsidRPr="00F86CE2" w:rsidRDefault="00B3075F" w:rsidP="00B3075F">
      <w:pPr>
        <w:pStyle w:val="Heading2"/>
      </w:pPr>
      <w:bookmarkStart w:id="1" w:name="_Toc289023805"/>
      <w:bookmarkStart w:id="2" w:name="_Toc292293566"/>
      <w:bookmarkStart w:id="3" w:name="_Toc302846895"/>
      <w:r w:rsidRPr="00F86CE2">
        <w:t>Problemy i hipotezy</w:t>
      </w:r>
      <w:bookmarkEnd w:id="1"/>
      <w:bookmarkEnd w:id="2"/>
      <w:r>
        <w:t xml:space="preserve"> </w:t>
      </w:r>
      <w:r w:rsidRPr="00F86CE2">
        <w:t>badawcze</w:t>
      </w:r>
      <w:bookmarkEnd w:id="3"/>
    </w:p>
    <w:p w:rsidR="00B3075F" w:rsidRPr="00F86CE2" w:rsidRDefault="00B3075F" w:rsidP="00B3075F">
      <w:r w:rsidRPr="00F86CE2">
        <w:t>Uczniowie rozwiązują zadania w sposób mechanicz</w:t>
      </w:r>
      <w:r>
        <w:t xml:space="preserve">ny stosując wyuczone algorytmy. </w:t>
      </w:r>
      <w:r w:rsidRPr="00F86CE2">
        <w:t>Dokonują zerojedynkowych oszacowań swoich umiejętności (umiem rozwiązać – nie umiem). Jeżeli uczeń na początku szacuje, ze nie potrafi rozwiązać porzuca zamiar nie czytając treści i nie zastanawia się nad innymi możliwościami, czy strategiami. W ostatnich latach zaobserwowano tendencje spadkowe w rozwiązanych zadaniach otwartych na egzaminie gimnazjalnym Obszar zadań otwartych ocenia się jako bardzo trudny. W roku szkolnym (ogólnopolskie zestawienie wyników gimnazjalnych) tylko 2% uczniów podjęło się rozwiązania zadań otwartych.</w:t>
      </w:r>
    </w:p>
    <w:p w:rsidR="00B3075F" w:rsidRPr="00F86CE2" w:rsidRDefault="00B3075F" w:rsidP="00B3075F">
      <w:proofErr w:type="spellStart"/>
      <w:r w:rsidRPr="00F86CE2">
        <w:t>Metapoznanie</w:t>
      </w:r>
      <w:proofErr w:type="spellEnd"/>
      <w:r w:rsidRPr="00F86CE2">
        <w:t>, które</w:t>
      </w:r>
      <w:r>
        <w:t xml:space="preserve"> </w:t>
      </w:r>
      <w:r w:rsidRPr="00F86CE2">
        <w:t>jest ważną częścią intelektualnego zachowania jednostki zostało uznane prz</w:t>
      </w:r>
      <w:r>
        <w:t>ez wiele naukowców (</w:t>
      </w:r>
      <w:proofErr w:type="spellStart"/>
      <w:r>
        <w:t>Schoenfeld</w:t>
      </w:r>
      <w:proofErr w:type="spellEnd"/>
      <w:r>
        <w:t xml:space="preserve">, 1985; </w:t>
      </w:r>
      <w:proofErr w:type="spellStart"/>
      <w:r>
        <w:t>Hartman</w:t>
      </w:r>
      <w:proofErr w:type="spellEnd"/>
      <w:r w:rsidRPr="00F86CE2">
        <w:t xml:space="preserve">, 1998; Hacker, </w:t>
      </w:r>
      <w:r>
        <w:t>i in</w:t>
      </w:r>
      <w:r w:rsidRPr="00F86CE2">
        <w:t xml:space="preserve">., 1998) jako kluczowy czynnik w efektywności rozwiązywania problemów. W kontekście założeń teoretycznych koncepcji </w:t>
      </w:r>
      <w:proofErr w:type="spellStart"/>
      <w:r w:rsidRPr="00F86CE2">
        <w:t>metapoznania</w:t>
      </w:r>
      <w:proofErr w:type="spellEnd"/>
      <w:r w:rsidRPr="00F86CE2">
        <w:t xml:space="preserve"> </w:t>
      </w:r>
      <w:proofErr w:type="spellStart"/>
      <w:r w:rsidRPr="00F86CE2">
        <w:t>Flavella</w:t>
      </w:r>
      <w:proofErr w:type="spellEnd"/>
      <w:r w:rsidRPr="00F86CE2">
        <w:t xml:space="preserve"> (1979) </w:t>
      </w:r>
      <w:r>
        <w:t xml:space="preserve">w niniejszej pracy </w:t>
      </w:r>
      <w:r w:rsidRPr="00F86CE2">
        <w:t>postawiono</w:t>
      </w:r>
      <w:r>
        <w:t xml:space="preserve"> następujące </w:t>
      </w:r>
      <w:r w:rsidRPr="00F86CE2">
        <w:t>problem</w:t>
      </w:r>
      <w:r>
        <w:t>y</w:t>
      </w:r>
      <w:r w:rsidRPr="00F86CE2">
        <w:t xml:space="preserve"> badawcz</w:t>
      </w:r>
      <w:r>
        <w:t>e</w:t>
      </w:r>
      <w:r w:rsidRPr="00F86CE2">
        <w:t>.</w:t>
      </w:r>
    </w:p>
    <w:p w:rsidR="00B3075F" w:rsidRPr="00F86CE2" w:rsidRDefault="00B3075F" w:rsidP="00B3075F">
      <w:pPr>
        <w:ind w:firstLine="0"/>
        <w:rPr>
          <w:i/>
          <w:iCs/>
        </w:rPr>
      </w:pPr>
      <w:r>
        <w:rPr>
          <w:i/>
          <w:iCs/>
        </w:rPr>
        <w:t xml:space="preserve">P1 </w:t>
      </w:r>
      <w:r w:rsidRPr="00F86CE2">
        <w:rPr>
          <w:i/>
          <w:iCs/>
        </w:rPr>
        <w:t xml:space="preserve">Jaki jest wpływ kompetencji </w:t>
      </w:r>
      <w:proofErr w:type="spellStart"/>
      <w:r w:rsidRPr="00F86CE2">
        <w:rPr>
          <w:i/>
          <w:iCs/>
        </w:rPr>
        <w:t>metapoznawczych</w:t>
      </w:r>
      <w:proofErr w:type="spellEnd"/>
      <w:r w:rsidRPr="00F86CE2">
        <w:rPr>
          <w:i/>
          <w:iCs/>
        </w:rPr>
        <w:t xml:space="preserve"> na poziom wyników rozwiązywanych zadań? </w:t>
      </w:r>
    </w:p>
    <w:p w:rsidR="00B3075F" w:rsidRDefault="00B3075F" w:rsidP="00B3075F">
      <w:pPr>
        <w:ind w:firstLine="0"/>
        <w:rPr>
          <w:i/>
          <w:iCs/>
        </w:rPr>
      </w:pPr>
      <w:r>
        <w:rPr>
          <w:i/>
          <w:iCs/>
        </w:rPr>
        <w:t xml:space="preserve">P2 </w:t>
      </w:r>
      <w:r w:rsidRPr="00F86CE2">
        <w:rPr>
          <w:i/>
          <w:iCs/>
        </w:rPr>
        <w:t xml:space="preserve">Jaki jest wpływ treningu </w:t>
      </w:r>
      <w:proofErr w:type="spellStart"/>
      <w:r w:rsidRPr="00F86CE2">
        <w:rPr>
          <w:i/>
          <w:iCs/>
        </w:rPr>
        <w:t>metapoznania</w:t>
      </w:r>
      <w:proofErr w:type="spellEnd"/>
      <w:r w:rsidRPr="00F86CE2">
        <w:rPr>
          <w:i/>
          <w:iCs/>
        </w:rPr>
        <w:t xml:space="preserve"> na poziom wyników rozwiązywanych zadań? </w:t>
      </w:r>
    </w:p>
    <w:p w:rsidR="00B3075F" w:rsidRPr="00F86CE2" w:rsidRDefault="00B3075F" w:rsidP="00B3075F">
      <w:pPr>
        <w:ind w:firstLine="0"/>
        <w:rPr>
          <w:i/>
          <w:iCs/>
        </w:rPr>
      </w:pPr>
      <w:r>
        <w:rPr>
          <w:i/>
          <w:iCs/>
        </w:rPr>
        <w:t xml:space="preserve">P3Jaki jest wpływ aktywizacji </w:t>
      </w:r>
      <w:proofErr w:type="spellStart"/>
      <w:r>
        <w:rPr>
          <w:i/>
          <w:iCs/>
        </w:rPr>
        <w:t>metapoznawczej</w:t>
      </w:r>
      <w:proofErr w:type="spellEnd"/>
      <w:r>
        <w:rPr>
          <w:i/>
          <w:iCs/>
        </w:rPr>
        <w:t xml:space="preserve"> na poziom wyników rozwiązywanych zadań?</w:t>
      </w:r>
    </w:p>
    <w:p w:rsidR="00B3075F" w:rsidRPr="00F86CE2" w:rsidRDefault="00B3075F" w:rsidP="00B3075F">
      <w:r w:rsidRPr="00F86CE2">
        <w:t xml:space="preserve">Od przełomowej pracy </w:t>
      </w:r>
      <w:proofErr w:type="spellStart"/>
      <w:r w:rsidRPr="00F86CE2">
        <w:t>Flavella</w:t>
      </w:r>
      <w:proofErr w:type="spellEnd"/>
      <w:r w:rsidRPr="00F86CE2">
        <w:t xml:space="preserve"> (1976</w:t>
      </w:r>
      <w:r>
        <w:t>;</w:t>
      </w:r>
      <w:r w:rsidRPr="00F86CE2">
        <w:t xml:space="preserve"> 1979)</w:t>
      </w:r>
      <w:r>
        <w:t xml:space="preserve"> </w:t>
      </w:r>
      <w:r w:rsidRPr="00F86CE2">
        <w:t xml:space="preserve">kontynuowano zainteresowanie badaniami dotyczącymi rozwoju </w:t>
      </w:r>
      <w:proofErr w:type="spellStart"/>
      <w:r w:rsidRPr="00F86CE2">
        <w:t>metapoznania</w:t>
      </w:r>
      <w:proofErr w:type="spellEnd"/>
      <w:r w:rsidRPr="00F86CE2">
        <w:t>. Jednym z powodów, dla których podjęto się przeprowadzenia badań w tym obszarze jest przyjęcie opinii , że procesy uczenia mogą być rozwijane i udoskonalane w tym bardzo znaczące</w:t>
      </w:r>
      <w:r>
        <w:t xml:space="preserve"> </w:t>
      </w:r>
      <w:proofErr w:type="spellStart"/>
      <w:r w:rsidRPr="00F86CE2">
        <w:t>metapoznanie</w:t>
      </w:r>
      <w:proofErr w:type="spellEnd"/>
      <w:r w:rsidRPr="00F86CE2">
        <w:t>, które przyczynia się do poprawy myślenia i uczenia się (White, 1988</w:t>
      </w:r>
      <w:r>
        <w:t>;</w:t>
      </w:r>
      <w:r w:rsidRPr="00F86CE2">
        <w:t xml:space="preserve"> Thomas i </w:t>
      </w:r>
      <w:proofErr w:type="spellStart"/>
      <w:r w:rsidRPr="00F86CE2">
        <w:t>McRobbie</w:t>
      </w:r>
      <w:proofErr w:type="spellEnd"/>
      <w:r w:rsidRPr="00F86CE2">
        <w:t>, 2001). Analiza roli i</w:t>
      </w:r>
      <w:r>
        <w:t> </w:t>
      </w:r>
      <w:r w:rsidRPr="00F86CE2">
        <w:t xml:space="preserve">ocena wagi </w:t>
      </w:r>
      <w:proofErr w:type="spellStart"/>
      <w:r w:rsidRPr="00F86CE2">
        <w:t>metapoznania</w:t>
      </w:r>
      <w:proofErr w:type="spellEnd"/>
      <w:r w:rsidRPr="00F86CE2">
        <w:t xml:space="preserve"> w trakcie rozwiązywania zadań oraz znalezienie nowych </w:t>
      </w:r>
      <w:r w:rsidRPr="00F86CE2">
        <w:lastRenderedPageBreak/>
        <w:t>sposobów zwiększających skuteczność procesów uczenia się fizyki stało się głównym zagadnieniem pracy.</w:t>
      </w:r>
    </w:p>
    <w:p w:rsidR="00B3075F" w:rsidRPr="00F86CE2" w:rsidRDefault="00B3075F" w:rsidP="00B3075F">
      <w:r w:rsidRPr="00F86CE2">
        <w:t xml:space="preserve">W związku z postawionym problemem badawczym zostały sformułowane odpowiednio następujące hipotezy: </w:t>
      </w:r>
    </w:p>
    <w:p w:rsidR="00B3075F" w:rsidRPr="00076FA5" w:rsidRDefault="00B3075F" w:rsidP="00B3075F">
      <w:pPr>
        <w:ind w:firstLine="0"/>
        <w:rPr>
          <w:i/>
        </w:rPr>
      </w:pPr>
      <w:r w:rsidRPr="00076FA5">
        <w:rPr>
          <w:i/>
        </w:rPr>
        <w:t xml:space="preserve">H1: Istnieje związek miedzy wzrostem kompetencji </w:t>
      </w:r>
      <w:proofErr w:type="spellStart"/>
      <w:r w:rsidRPr="00076FA5">
        <w:rPr>
          <w:i/>
        </w:rPr>
        <w:t>metapoz</w:t>
      </w:r>
      <w:r>
        <w:rPr>
          <w:i/>
        </w:rPr>
        <w:t>nawczych</w:t>
      </w:r>
      <w:proofErr w:type="spellEnd"/>
      <w:r>
        <w:rPr>
          <w:i/>
        </w:rPr>
        <w:t xml:space="preserve"> a sukcesem na teście z </w:t>
      </w:r>
      <w:r w:rsidRPr="00076FA5">
        <w:rPr>
          <w:i/>
        </w:rPr>
        <w:t>fizyki</w:t>
      </w:r>
      <w:r>
        <w:rPr>
          <w:i/>
        </w:rPr>
        <w:t xml:space="preserve">. Im większe kompetencje </w:t>
      </w:r>
      <w:proofErr w:type="spellStart"/>
      <w:r>
        <w:rPr>
          <w:i/>
        </w:rPr>
        <w:t>metapoznawcze</w:t>
      </w:r>
      <w:proofErr w:type="spellEnd"/>
      <w:r>
        <w:rPr>
          <w:i/>
        </w:rPr>
        <w:t>, tym lepszy wynik w rozwiązywaniu zadań otwartych.</w:t>
      </w:r>
    </w:p>
    <w:p w:rsidR="00B3075F" w:rsidRPr="003F40D5" w:rsidRDefault="00B3075F" w:rsidP="00B3075F">
      <w:pPr>
        <w:ind w:firstLine="0"/>
        <w:rPr>
          <w:i/>
        </w:rPr>
      </w:pPr>
      <w:r w:rsidRPr="003F40D5">
        <w:rPr>
          <w:i/>
        </w:rPr>
        <w:t xml:space="preserve">H2: Istnieje zależność między treningiem </w:t>
      </w:r>
      <w:proofErr w:type="spellStart"/>
      <w:r w:rsidRPr="003F40D5">
        <w:rPr>
          <w:i/>
        </w:rPr>
        <w:t>metapoznawczym</w:t>
      </w:r>
      <w:proofErr w:type="spellEnd"/>
      <w:r w:rsidRPr="003F40D5">
        <w:rPr>
          <w:i/>
        </w:rPr>
        <w:t>, a skutecznością w rozwiązywaniu zadań. Uczniowie którzy przeszli program treningu</w:t>
      </w:r>
      <w:r>
        <w:rPr>
          <w:i/>
        </w:rPr>
        <w:t xml:space="preserve"> „</w:t>
      </w:r>
      <w:proofErr w:type="spellStart"/>
      <w:r w:rsidRPr="003F40D5">
        <w:rPr>
          <w:i/>
        </w:rPr>
        <w:t>Metapoznanie</w:t>
      </w:r>
      <w:proofErr w:type="spellEnd"/>
      <w:r w:rsidRPr="003F40D5">
        <w:rPr>
          <w:i/>
        </w:rPr>
        <w:t xml:space="preserve"> na lekcjach fizyki</w:t>
      </w:r>
      <w:r>
        <w:rPr>
          <w:i/>
        </w:rPr>
        <w:t>”</w:t>
      </w:r>
      <w:r w:rsidRPr="003F40D5">
        <w:rPr>
          <w:i/>
        </w:rPr>
        <w:t xml:space="preserve"> osiągną istotnie lepsze rezultaty na teście </w:t>
      </w:r>
      <w:r>
        <w:rPr>
          <w:i/>
        </w:rPr>
        <w:t>„</w:t>
      </w:r>
      <w:r w:rsidRPr="003F40D5">
        <w:rPr>
          <w:i/>
        </w:rPr>
        <w:t>zadań otwartych</w:t>
      </w:r>
      <w:r>
        <w:rPr>
          <w:i/>
        </w:rPr>
        <w:t>”</w:t>
      </w:r>
      <w:r w:rsidRPr="003F40D5">
        <w:rPr>
          <w:i/>
        </w:rPr>
        <w:t xml:space="preserve"> niż uczniowie, którzy uczeni byli metodami tradycyjnymi.</w:t>
      </w:r>
    </w:p>
    <w:p w:rsidR="00B3075F" w:rsidRPr="00160DAC" w:rsidRDefault="00B3075F" w:rsidP="00B3075F">
      <w:pPr>
        <w:ind w:firstLine="0"/>
        <w:rPr>
          <w:i/>
        </w:rPr>
      </w:pPr>
      <w:r w:rsidRPr="00160DAC">
        <w:rPr>
          <w:i/>
        </w:rPr>
        <w:t xml:space="preserve">H3: Istnieje zależność między aktywizacją </w:t>
      </w:r>
      <w:proofErr w:type="spellStart"/>
      <w:r w:rsidRPr="00160DAC">
        <w:rPr>
          <w:i/>
        </w:rPr>
        <w:t>metapoznawczą</w:t>
      </w:r>
      <w:proofErr w:type="spellEnd"/>
      <w:r w:rsidRPr="00160DAC">
        <w:rPr>
          <w:i/>
        </w:rPr>
        <w:t xml:space="preserve"> a sukcesem w rozwiązywaniu zadań. Uczniowie, którzy nie przeszli treningu </w:t>
      </w:r>
      <w:proofErr w:type="spellStart"/>
      <w:r w:rsidRPr="00160DAC">
        <w:rPr>
          <w:i/>
        </w:rPr>
        <w:t>metapoznawczego</w:t>
      </w:r>
      <w:proofErr w:type="spellEnd"/>
      <w:r w:rsidRPr="00160DAC">
        <w:rPr>
          <w:i/>
        </w:rPr>
        <w:t xml:space="preserve">, ale zostali zaktywizowani </w:t>
      </w:r>
      <w:proofErr w:type="spellStart"/>
      <w:r w:rsidRPr="00160DAC">
        <w:rPr>
          <w:i/>
        </w:rPr>
        <w:t>metapoznawczo</w:t>
      </w:r>
      <w:proofErr w:type="spellEnd"/>
      <w:r w:rsidRPr="00160DAC">
        <w:rPr>
          <w:i/>
        </w:rPr>
        <w:t xml:space="preserve"> (przy okazji rozwiązywania zadań odpowiadali na pytania ankietowe zawierające pytania </w:t>
      </w:r>
      <w:proofErr w:type="spellStart"/>
      <w:r w:rsidRPr="00160DAC">
        <w:rPr>
          <w:i/>
        </w:rPr>
        <w:t>metapoznawcze</w:t>
      </w:r>
      <w:proofErr w:type="spellEnd"/>
      <w:r w:rsidRPr="00160DAC">
        <w:rPr>
          <w:i/>
        </w:rPr>
        <w:t>) osiągają istotnie lepsze wyniki niż uczniowie uczeni metodami tradycyjnymi, którzy rozwiązują tylko zadania testowe.</w:t>
      </w:r>
    </w:p>
    <w:p w:rsidR="00B3075F" w:rsidRDefault="00B3075F" w:rsidP="00B3075F">
      <w:r w:rsidRPr="00F86CE2">
        <w:t>Prezentowana procedura badawcza została zaprojektowana w celu weryfikacji tak postawionych hipotez.</w:t>
      </w:r>
    </w:p>
    <w:p w:rsidR="00B3075F" w:rsidRDefault="00B3075F" w:rsidP="00B3075F">
      <w:pPr>
        <w:pStyle w:val="Heading2"/>
      </w:pPr>
      <w:bookmarkStart w:id="4" w:name="_Toc302846896"/>
      <w:r>
        <w:t>Opis zmiennych</w:t>
      </w:r>
      <w:bookmarkEnd w:id="4"/>
    </w:p>
    <w:p w:rsidR="00B3075F" w:rsidRPr="00F86CE2" w:rsidRDefault="00B3075F" w:rsidP="00B3075F">
      <w:r w:rsidRPr="00F86CE2">
        <w:t>Poniżej wypisano zmienne zależne. Wartości zmiennych określały osoby sprawdzające prace uczniów (sędziowie kompetentni)</w:t>
      </w:r>
    </w:p>
    <w:p w:rsidR="00B3075F" w:rsidRPr="00F86CE2" w:rsidRDefault="00B3075F" w:rsidP="00B3075F">
      <w:pPr>
        <w:pStyle w:val="StylPunktowane"/>
        <w:tabs>
          <w:tab w:val="clear" w:pos="-351"/>
          <w:tab w:val="num" w:pos="720"/>
        </w:tabs>
      </w:pPr>
      <w:r w:rsidRPr="004323D1">
        <w:rPr>
          <w:i/>
        </w:rPr>
        <w:t>zadanie rozwiązan</w:t>
      </w:r>
      <w:r>
        <w:t>e</w:t>
      </w:r>
      <w:r w:rsidRPr="00F86CE2">
        <w:t xml:space="preserve"> – zmienna opisująca czy uczeń rozwiązał zadanie czy nie (ewentualnie wcale nie podjął rozwiązania)</w:t>
      </w:r>
    </w:p>
    <w:p w:rsidR="00B3075F" w:rsidRPr="00F86CE2" w:rsidRDefault="00B3075F" w:rsidP="00B3075F">
      <w:pPr>
        <w:pStyle w:val="StylPunktowane"/>
        <w:tabs>
          <w:tab w:val="clear" w:pos="-351"/>
          <w:tab w:val="num" w:pos="720"/>
        </w:tabs>
      </w:pPr>
      <w:r w:rsidRPr="004323D1">
        <w:rPr>
          <w:i/>
        </w:rPr>
        <w:t>próba rozwiązania</w:t>
      </w:r>
      <w:r>
        <w:rPr>
          <w:i/>
        </w:rPr>
        <w:t xml:space="preserve"> </w:t>
      </w:r>
      <w:r>
        <w:t>–</w:t>
      </w:r>
      <w:r w:rsidRPr="00F86CE2">
        <w:t xml:space="preserve"> czy uczeń wypisał wzory istotne dla rozwiązania, potrafił podstawić dane, manipulował przy rozwiązaniu czy wypisane wzory były nieistotne dla zadania, brak podstawienia danych, brak zapisu jakichkolwiek informacji istotnych dla zadania.</w:t>
      </w:r>
    </w:p>
    <w:p w:rsidR="00B3075F" w:rsidRPr="00F86CE2" w:rsidRDefault="00B3075F" w:rsidP="00B3075F">
      <w:pPr>
        <w:pStyle w:val="StylPunktowane"/>
        <w:tabs>
          <w:tab w:val="clear" w:pos="-351"/>
          <w:tab w:val="num" w:pos="720"/>
        </w:tabs>
      </w:pPr>
      <w:r w:rsidRPr="004323D1">
        <w:rPr>
          <w:i/>
        </w:rPr>
        <w:t>wypisanie danych</w:t>
      </w:r>
      <w:r>
        <w:t xml:space="preserve"> –</w:t>
      </w:r>
      <w:r w:rsidRPr="00F86CE2">
        <w:t xml:space="preserve"> czy uczeń wypisał prawidłowo dane istotne dla zadania czy brak było danych lub dane niekompletne.</w:t>
      </w:r>
    </w:p>
    <w:p w:rsidR="00B3075F" w:rsidRPr="00F86CE2" w:rsidRDefault="00B3075F" w:rsidP="00B3075F">
      <w:pPr>
        <w:pStyle w:val="StylPunktowane"/>
        <w:tabs>
          <w:tab w:val="clear" w:pos="-351"/>
          <w:tab w:val="num" w:pos="720"/>
        </w:tabs>
      </w:pPr>
      <w:r>
        <w:rPr>
          <w:i/>
        </w:rPr>
        <w:t>r</w:t>
      </w:r>
      <w:r w:rsidRPr="004323D1">
        <w:rPr>
          <w:i/>
        </w:rPr>
        <w:t>ysunek</w:t>
      </w:r>
      <w:r>
        <w:t xml:space="preserve"> –</w:t>
      </w:r>
      <w:r w:rsidRPr="00F86CE2">
        <w:t xml:space="preserve"> czy uczeń rozrysował problem, ws</w:t>
      </w:r>
      <w:r>
        <w:t xml:space="preserve">pomagał się rysunkiem czy brak </w:t>
      </w:r>
      <w:r w:rsidRPr="00F86CE2">
        <w:t>było jakiegokolwiek rysunku związanego z danym zadaniem.</w:t>
      </w:r>
    </w:p>
    <w:p w:rsidR="00B3075F" w:rsidRPr="00D2720F" w:rsidRDefault="00B3075F" w:rsidP="00B3075F">
      <w:r w:rsidRPr="00D2720F">
        <w:t xml:space="preserve">Zmienną niezależną były wskaźniki </w:t>
      </w:r>
      <w:proofErr w:type="spellStart"/>
      <w:r w:rsidRPr="00D2720F">
        <w:t>metapoznawcze</w:t>
      </w:r>
      <w:proofErr w:type="spellEnd"/>
      <w:r w:rsidRPr="00D2720F">
        <w:t>: kompetencje, trening, aktywizacja kompetencji.</w:t>
      </w:r>
    </w:p>
    <w:p w:rsidR="00B3075F" w:rsidRPr="00F86CE2" w:rsidRDefault="00B3075F" w:rsidP="00B3075F">
      <w:pPr>
        <w:pStyle w:val="Heading2"/>
      </w:pPr>
      <w:bookmarkStart w:id="5" w:name="_Toc289023806"/>
      <w:bookmarkStart w:id="6" w:name="_Toc292293567"/>
      <w:bookmarkStart w:id="7" w:name="_Toc302846897"/>
      <w:r w:rsidRPr="00F86CE2">
        <w:t>Narzędzia badawcze</w:t>
      </w:r>
      <w:bookmarkEnd w:id="5"/>
      <w:bookmarkEnd w:id="6"/>
      <w:bookmarkEnd w:id="7"/>
    </w:p>
    <w:p w:rsidR="00B3075F" w:rsidRPr="00F86CE2" w:rsidRDefault="00B3075F" w:rsidP="00B3075F">
      <w:r w:rsidRPr="00F86CE2">
        <w:t xml:space="preserve">Na potrzeby badania został opracowany </w:t>
      </w:r>
      <w:r w:rsidRPr="00F4708A">
        <w:rPr>
          <w:i/>
        </w:rPr>
        <w:t xml:space="preserve">Kwestionariusz  </w:t>
      </w:r>
      <w:proofErr w:type="spellStart"/>
      <w:r w:rsidRPr="00F4708A">
        <w:rPr>
          <w:i/>
        </w:rPr>
        <w:t>Zachowań</w:t>
      </w:r>
      <w:proofErr w:type="spellEnd"/>
      <w:r w:rsidRPr="00F4708A">
        <w:rPr>
          <w:i/>
        </w:rPr>
        <w:t xml:space="preserve"> </w:t>
      </w:r>
      <w:proofErr w:type="spellStart"/>
      <w:r>
        <w:rPr>
          <w:i/>
        </w:rPr>
        <w:t>M</w:t>
      </w:r>
      <w:r w:rsidRPr="00F4708A">
        <w:rPr>
          <w:i/>
        </w:rPr>
        <w:t>etapoznawczych</w:t>
      </w:r>
      <w:proofErr w:type="spellEnd"/>
      <w:r w:rsidRPr="00F86CE2">
        <w:t xml:space="preserve">, który miał </w:t>
      </w:r>
      <w:r>
        <w:t>służyć do</w:t>
      </w:r>
      <w:r w:rsidRPr="00F86CE2">
        <w:t xml:space="preserve">: </w:t>
      </w:r>
    </w:p>
    <w:p w:rsidR="00B3075F" w:rsidRPr="00F86CE2" w:rsidRDefault="00B3075F" w:rsidP="00B3075F">
      <w:pPr>
        <w:pStyle w:val="StylPunktowane"/>
        <w:tabs>
          <w:tab w:val="clear" w:pos="-351"/>
          <w:tab w:val="num" w:pos="720"/>
        </w:tabs>
      </w:pPr>
      <w:r w:rsidRPr="00F86CE2">
        <w:t>monitorowa</w:t>
      </w:r>
      <w:r>
        <w:t>nia</w:t>
      </w:r>
      <w:r w:rsidRPr="00F86CE2">
        <w:t xml:space="preserve"> zachowania, czyli pokazać </w:t>
      </w:r>
      <w:r>
        <w:t>„</w:t>
      </w:r>
      <w:r w:rsidRPr="00F86CE2">
        <w:t>migawkę</w:t>
      </w:r>
      <w:r>
        <w:t>”</w:t>
      </w:r>
      <w:r w:rsidRPr="00F86CE2">
        <w:t xml:space="preserve"> </w:t>
      </w:r>
      <w:proofErr w:type="spellStart"/>
      <w:r w:rsidRPr="00F86CE2">
        <w:t>metapoznawczych</w:t>
      </w:r>
      <w:proofErr w:type="spellEnd"/>
      <w:r>
        <w:t xml:space="preserve"> </w:t>
      </w:r>
      <w:proofErr w:type="spellStart"/>
      <w:r w:rsidRPr="00F86CE2">
        <w:t>zachowań</w:t>
      </w:r>
      <w:proofErr w:type="spellEnd"/>
      <w:r w:rsidRPr="00F86CE2">
        <w:t xml:space="preserve"> podczas rozwiązywania zadań (uczniowie wypełniali kwestionariusz i wpisywali w</w:t>
      </w:r>
      <w:r>
        <w:t> </w:t>
      </w:r>
      <w:r w:rsidRPr="00F86CE2">
        <w:t>odpowiednią rubrykę znaku , który zgadzałby się z ich aktualnym odczuciem)</w:t>
      </w:r>
    </w:p>
    <w:p w:rsidR="00B3075F" w:rsidRPr="00F86CE2" w:rsidRDefault="00B3075F" w:rsidP="00B3075F">
      <w:pPr>
        <w:ind w:firstLine="0"/>
      </w:pPr>
      <w:r w:rsidRPr="00F86CE2">
        <w:t>ale również :</w:t>
      </w:r>
    </w:p>
    <w:p w:rsidR="00B3075F" w:rsidRPr="00F86CE2" w:rsidRDefault="00B3075F" w:rsidP="00B3075F">
      <w:pPr>
        <w:pStyle w:val="StylPunktowane"/>
        <w:tabs>
          <w:tab w:val="clear" w:pos="-351"/>
          <w:tab w:val="num" w:pos="720"/>
        </w:tabs>
      </w:pPr>
      <w:r w:rsidRPr="00F86CE2">
        <w:t>zachęca</w:t>
      </w:r>
      <w:r>
        <w:t>nia</w:t>
      </w:r>
      <w:r w:rsidRPr="00F86CE2">
        <w:t xml:space="preserve"> uczniów do podjęcia ryzyka w trakcie rozwiązania zadań ,zapobiegać szybkiej rezygnacji</w:t>
      </w:r>
      <w:r>
        <w:t xml:space="preserve"> </w:t>
      </w:r>
      <w:r w:rsidRPr="00F86CE2">
        <w:t>przy pierwszych próbach niepowodzenia, wpływać na motywację uczniów przez poddanie ich refleksji w trakcie rozwiązywania zadań otwartych z fizyki.</w:t>
      </w:r>
    </w:p>
    <w:p w:rsidR="00B3075F" w:rsidRPr="00F86CE2" w:rsidRDefault="00B3075F" w:rsidP="00B3075F">
      <w:pPr>
        <w:ind w:firstLine="357"/>
      </w:pPr>
      <w:r w:rsidRPr="00F4708A">
        <w:rPr>
          <w:i/>
        </w:rPr>
        <w:t xml:space="preserve">Kwestionariusz </w:t>
      </w:r>
      <w:r>
        <w:rPr>
          <w:i/>
        </w:rPr>
        <w:t xml:space="preserve">Zachowa </w:t>
      </w:r>
      <w:proofErr w:type="spellStart"/>
      <w:r w:rsidRPr="00F4708A">
        <w:rPr>
          <w:i/>
        </w:rPr>
        <w:t>Metapoznawczych</w:t>
      </w:r>
      <w:proofErr w:type="spellEnd"/>
      <w:r w:rsidRPr="00F86CE2">
        <w:t xml:space="preserve"> został opracowywany i dostosowany do potrzeb tego badania na podstawie istniejących kwestionariuszy słu</w:t>
      </w:r>
      <w:r>
        <w:t xml:space="preserve">żących do pomiaru </w:t>
      </w:r>
      <w:proofErr w:type="spellStart"/>
      <w:r>
        <w:t>metapoznania</w:t>
      </w:r>
      <w:proofErr w:type="spellEnd"/>
      <w:r w:rsidRPr="00F86CE2">
        <w:t>:</w:t>
      </w:r>
    </w:p>
    <w:p w:rsidR="00B3075F" w:rsidRPr="00F86CE2" w:rsidRDefault="00B3075F" w:rsidP="00B3075F">
      <w:pPr>
        <w:pStyle w:val="StylPunktowane"/>
        <w:tabs>
          <w:tab w:val="clear" w:pos="-351"/>
          <w:tab w:val="num" w:pos="720"/>
        </w:tabs>
      </w:pPr>
      <w:proofErr w:type="spellStart"/>
      <w:r w:rsidRPr="004323D1">
        <w:rPr>
          <w:i/>
        </w:rPr>
        <w:t>Self-Efficacy</w:t>
      </w:r>
      <w:proofErr w:type="spellEnd"/>
      <w:r w:rsidRPr="004323D1">
        <w:rPr>
          <w:i/>
        </w:rPr>
        <w:t xml:space="preserve"> and </w:t>
      </w:r>
      <w:proofErr w:type="spellStart"/>
      <w:r w:rsidRPr="004323D1">
        <w:rPr>
          <w:i/>
        </w:rPr>
        <w:t>Metacognition</w:t>
      </w:r>
      <w:proofErr w:type="spellEnd"/>
      <w:r w:rsidRPr="004323D1">
        <w:rPr>
          <w:i/>
        </w:rPr>
        <w:t xml:space="preserve"> Learning Inventory-Science</w:t>
      </w:r>
      <w:r w:rsidRPr="00F86CE2">
        <w:t xml:space="preserve"> (SEMLI-S), Gregory Thomasa, David </w:t>
      </w:r>
      <w:proofErr w:type="spellStart"/>
      <w:r w:rsidRPr="00F86CE2">
        <w:t>Andersonb</w:t>
      </w:r>
      <w:proofErr w:type="spellEnd"/>
      <w:r w:rsidRPr="00F86CE2">
        <w:t xml:space="preserve">, Samson </w:t>
      </w:r>
      <w:proofErr w:type="spellStart"/>
      <w:r w:rsidRPr="00F86CE2">
        <w:t>Nashonb</w:t>
      </w:r>
      <w:proofErr w:type="spellEnd"/>
      <w:r>
        <w:t xml:space="preserve"> </w:t>
      </w:r>
      <w:r w:rsidRPr="00F86CE2">
        <w:t xml:space="preserve">skonstruowanym do monitorowania </w:t>
      </w:r>
      <w:proofErr w:type="spellStart"/>
      <w:r w:rsidRPr="00F86CE2">
        <w:t>metapoznania</w:t>
      </w:r>
      <w:proofErr w:type="spellEnd"/>
      <w:r w:rsidRPr="00F86CE2">
        <w:t xml:space="preserve"> i poczucia własnej skuteczności</w:t>
      </w:r>
      <w:r>
        <w:t xml:space="preserve"> </w:t>
      </w:r>
      <w:r w:rsidRPr="00F86CE2">
        <w:t xml:space="preserve">w uczeniu się. </w:t>
      </w:r>
    </w:p>
    <w:p w:rsidR="00B3075F" w:rsidRPr="00F86CE2" w:rsidRDefault="00B3075F" w:rsidP="00B3075F">
      <w:pPr>
        <w:pStyle w:val="StylPunktowane"/>
        <w:tabs>
          <w:tab w:val="clear" w:pos="-351"/>
          <w:tab w:val="num" w:pos="720"/>
        </w:tabs>
      </w:pPr>
      <w:r w:rsidRPr="004323D1">
        <w:rPr>
          <w:i/>
        </w:rPr>
        <w:t xml:space="preserve">The </w:t>
      </w:r>
      <w:proofErr w:type="spellStart"/>
      <w:r w:rsidRPr="004323D1">
        <w:rPr>
          <w:i/>
        </w:rPr>
        <w:t>Metacognitive</w:t>
      </w:r>
      <w:proofErr w:type="spellEnd"/>
      <w:r w:rsidRPr="004323D1">
        <w:rPr>
          <w:i/>
        </w:rPr>
        <w:t xml:space="preserve"> </w:t>
      </w:r>
      <w:proofErr w:type="spellStart"/>
      <w:r w:rsidRPr="004323D1">
        <w:rPr>
          <w:i/>
        </w:rPr>
        <w:t>Awareness</w:t>
      </w:r>
      <w:proofErr w:type="spellEnd"/>
      <w:r w:rsidRPr="004323D1">
        <w:rPr>
          <w:i/>
        </w:rPr>
        <w:t xml:space="preserve"> Inventory</w:t>
      </w:r>
      <w:r w:rsidRPr="00F86CE2">
        <w:t xml:space="preserve"> (MAI) </w:t>
      </w:r>
      <w:proofErr w:type="spellStart"/>
      <w:r w:rsidRPr="00F86CE2">
        <w:t>Schraw</w:t>
      </w:r>
      <w:proofErr w:type="spellEnd"/>
      <w:r w:rsidRPr="00F86CE2">
        <w:t xml:space="preserve"> and Dennison (1994) służącym do oceny </w:t>
      </w:r>
      <w:proofErr w:type="spellStart"/>
      <w:r w:rsidRPr="00F86CE2">
        <w:t>metapoznawczej</w:t>
      </w:r>
      <w:proofErr w:type="spellEnd"/>
      <w:r w:rsidRPr="00F86CE2">
        <w:t xml:space="preserve"> wiedzy i </w:t>
      </w:r>
      <w:proofErr w:type="spellStart"/>
      <w:r w:rsidRPr="00F86CE2">
        <w:t>metapoznawczych</w:t>
      </w:r>
      <w:proofErr w:type="spellEnd"/>
      <w:r w:rsidRPr="00F86CE2">
        <w:t xml:space="preserve"> umiejętności. Na potrzeby badania wykorzystano tylko pytania z kategorii </w:t>
      </w:r>
      <w:proofErr w:type="spellStart"/>
      <w:r w:rsidRPr="00F86CE2">
        <w:t>metapoznawczych</w:t>
      </w:r>
      <w:proofErr w:type="spellEnd"/>
      <w:r w:rsidRPr="00F86CE2">
        <w:t xml:space="preserve"> umiejętności :planowania (ustalania celów),</w:t>
      </w:r>
      <w:r>
        <w:t xml:space="preserve"> </w:t>
      </w:r>
      <w:r w:rsidRPr="00F86CE2">
        <w:t>informacji (organizacji), monitorowania (oceny i strategii uczenia się), usuwania błędów (strategie w celu poprawienia błędów) oraz ocenę (analiza działania i skuteczności strategii).</w:t>
      </w:r>
    </w:p>
    <w:p w:rsidR="00B3075F" w:rsidRPr="00F86CE2" w:rsidRDefault="00B3075F" w:rsidP="00B3075F">
      <w:pPr>
        <w:ind w:firstLine="357"/>
      </w:pPr>
      <w:r w:rsidRPr="0043402C">
        <w:rPr>
          <w:i/>
        </w:rPr>
        <w:t xml:space="preserve">Kwestionariusz </w:t>
      </w:r>
      <w:proofErr w:type="spellStart"/>
      <w:r w:rsidRPr="0043402C">
        <w:rPr>
          <w:i/>
        </w:rPr>
        <w:t>Zachowań</w:t>
      </w:r>
      <w:proofErr w:type="spellEnd"/>
      <w:r w:rsidRPr="0043402C">
        <w:rPr>
          <w:i/>
        </w:rPr>
        <w:t xml:space="preserve"> </w:t>
      </w:r>
      <w:proofErr w:type="spellStart"/>
      <w:r w:rsidRPr="0043402C">
        <w:rPr>
          <w:i/>
        </w:rPr>
        <w:t>Metapoznawczych</w:t>
      </w:r>
      <w:proofErr w:type="spellEnd"/>
      <w:r w:rsidRPr="00F86CE2">
        <w:t xml:space="preserve"> składał się z</w:t>
      </w:r>
      <w:r>
        <w:t xml:space="preserve"> </w:t>
      </w:r>
      <w:r w:rsidRPr="00F86CE2">
        <w:t>1</w:t>
      </w:r>
      <w:r>
        <w:t>7</w:t>
      </w:r>
      <w:r w:rsidRPr="00F86CE2">
        <w:t xml:space="preserve"> pozycji</w:t>
      </w:r>
      <w:r>
        <w:t xml:space="preserve"> testowych</w:t>
      </w:r>
      <w:r w:rsidRPr="00F86CE2">
        <w:t xml:space="preserve">, mierzących następujące </w:t>
      </w:r>
      <w:r>
        <w:t>wskaźniki</w:t>
      </w:r>
      <w:r w:rsidRPr="00F86CE2">
        <w:t>:</w:t>
      </w:r>
    </w:p>
    <w:p w:rsidR="00B3075F" w:rsidRPr="00F86CE2" w:rsidRDefault="00B3075F" w:rsidP="00B3075F">
      <w:pPr>
        <w:pStyle w:val="StylPunktowane"/>
        <w:tabs>
          <w:tab w:val="clear" w:pos="-351"/>
          <w:tab w:val="num" w:pos="720"/>
        </w:tabs>
      </w:pPr>
      <w:r w:rsidRPr="00F86CE2">
        <w:t>Wymiar</w:t>
      </w:r>
      <w:r w:rsidRPr="00F4708A">
        <w:t xml:space="preserve"> </w:t>
      </w:r>
      <w:r>
        <w:rPr>
          <w:i/>
        </w:rPr>
        <w:t>z</w:t>
      </w:r>
      <w:r w:rsidRPr="00F4708A">
        <w:rPr>
          <w:i/>
        </w:rPr>
        <w:t>aangażowanie</w:t>
      </w:r>
      <w:r w:rsidRPr="00F86CE2">
        <w:t>, który odzwierciedlał wstępną konfrontacja z problemem oraz jego zrozumienie, umiejętność opisywania zadania własnymi słowami oraz podkreślania istotnych dla zadania informacji.</w:t>
      </w:r>
    </w:p>
    <w:p w:rsidR="00B3075F" w:rsidRPr="00F86CE2" w:rsidRDefault="00B3075F" w:rsidP="00B3075F">
      <w:pPr>
        <w:pStyle w:val="StylPunktowane"/>
        <w:tabs>
          <w:tab w:val="clear" w:pos="-351"/>
          <w:tab w:val="num" w:pos="720"/>
        </w:tabs>
      </w:pPr>
      <w:r w:rsidRPr="00F86CE2">
        <w:t xml:space="preserve">Wymiar </w:t>
      </w:r>
      <w:r>
        <w:rPr>
          <w:i/>
        </w:rPr>
        <w:t>p</w:t>
      </w:r>
      <w:r w:rsidRPr="00F4708A">
        <w:rPr>
          <w:i/>
        </w:rPr>
        <w:t>lanowanie</w:t>
      </w:r>
      <w:r w:rsidRPr="00F86CE2">
        <w:t xml:space="preserve"> związany był z odkrywaniem przez uczniów ważnych w zadaniu informacji, powiązania treści zadania z własnym doświadczeniem, planowanie kolejności rozwiązania</w:t>
      </w:r>
    </w:p>
    <w:p w:rsidR="00B3075F" w:rsidRPr="00F86CE2" w:rsidRDefault="00B3075F" w:rsidP="00B3075F">
      <w:pPr>
        <w:pStyle w:val="StylPunktowane"/>
        <w:tabs>
          <w:tab w:val="clear" w:pos="-351"/>
          <w:tab w:val="num" w:pos="720"/>
        </w:tabs>
      </w:pPr>
      <w:r w:rsidRPr="00F86CE2">
        <w:t xml:space="preserve">Wymiar </w:t>
      </w:r>
      <w:r>
        <w:rPr>
          <w:i/>
        </w:rPr>
        <w:t>m</w:t>
      </w:r>
      <w:r w:rsidRPr="00F4708A">
        <w:rPr>
          <w:i/>
        </w:rPr>
        <w:t>onitorowanie</w:t>
      </w:r>
      <w:r w:rsidRPr="00F86CE2">
        <w:t xml:space="preserve"> oznaczał, </w:t>
      </w:r>
      <w:r>
        <w:t>ż</w:t>
      </w:r>
      <w:r w:rsidRPr="00F86CE2">
        <w:t xml:space="preserve">e uczeń umiał wykorzystywać różne strategie ułatwiających rozwiązanie zadań. Między innymi potrafił skupić swoja uwagę na ważnych informacjach, posługiwał się rysunkiem aby wyłonić istotę problemu, rozbijał zadanie na mniejsze części aby stało się łatwiejsze. </w:t>
      </w:r>
    </w:p>
    <w:p w:rsidR="00B3075F" w:rsidRDefault="00B3075F" w:rsidP="00B3075F">
      <w:pPr>
        <w:pStyle w:val="StylPunktowane"/>
        <w:tabs>
          <w:tab w:val="clear" w:pos="-351"/>
          <w:tab w:val="num" w:pos="720"/>
        </w:tabs>
      </w:pPr>
      <w:r w:rsidRPr="00F86CE2">
        <w:t xml:space="preserve">Wymiar </w:t>
      </w:r>
      <w:r>
        <w:rPr>
          <w:i/>
        </w:rPr>
        <w:t>o</w:t>
      </w:r>
      <w:r w:rsidRPr="00F4708A">
        <w:rPr>
          <w:i/>
        </w:rPr>
        <w:t>cena</w:t>
      </w:r>
      <w:r w:rsidRPr="00F86CE2">
        <w:t xml:space="preserve"> odzwierciedlał ocenę własnej skuteczności po skończeniu rozwiązywania zadań. Uczeń wskazywał inne możliwe rozwiązanie oraz umiał określić swoje słabe i mocne strony.</w:t>
      </w:r>
    </w:p>
    <w:p w:rsidR="00B3075F" w:rsidRPr="00F86CE2" w:rsidRDefault="00B3075F" w:rsidP="00B3075F">
      <w:pPr>
        <w:pStyle w:val="StylPunktowane"/>
        <w:tabs>
          <w:tab w:val="clear" w:pos="-351"/>
          <w:tab w:val="num" w:pos="720"/>
        </w:tabs>
      </w:pPr>
      <w:r w:rsidRPr="00F86CE2">
        <w:t>W</w:t>
      </w:r>
      <w:r w:rsidRPr="0043402C">
        <w:t xml:space="preserve">ymiar </w:t>
      </w:r>
      <w:r w:rsidRPr="00F4708A">
        <w:rPr>
          <w:i/>
        </w:rPr>
        <w:t>Kalibracja</w:t>
      </w:r>
      <w:r w:rsidRPr="00F86CE2">
        <w:t xml:space="preserve"> – oznaczał przewidywanie własnej skuteczności w rozwianiu problemu.</w:t>
      </w:r>
    </w:p>
    <w:p w:rsidR="00B3075F" w:rsidRDefault="00B3075F" w:rsidP="00B3075F">
      <w:r w:rsidRPr="00F86CE2">
        <w:t xml:space="preserve">Uczniowie odpowiadali na pytania kwestionariusza w trakcie rozwiązywania zadań otwartych z fizyki zaznaczając wybraną przez siebie odpowiedz na skali dychotomicznej (TAK/NIE). Współczynnik rzetelności poszczególnych </w:t>
      </w:r>
      <w:proofErr w:type="spellStart"/>
      <w:r w:rsidRPr="00F86CE2">
        <w:t>skal</w:t>
      </w:r>
      <w:proofErr w:type="spellEnd"/>
      <w:r w:rsidRPr="00F86CE2">
        <w:t xml:space="preserve"> przedstawia tabela </w:t>
      </w:r>
      <w:r>
        <w:t>1</w:t>
      </w:r>
    </w:p>
    <w:p w:rsidR="00B3075F" w:rsidRPr="002F796B" w:rsidRDefault="00B3075F" w:rsidP="00B3075F">
      <w:pPr>
        <w:pStyle w:val="PodpisTabeli"/>
        <w:rPr>
          <w:rStyle w:val="google-src-text"/>
        </w:rPr>
      </w:pPr>
      <w:r>
        <w:rPr>
          <w:rStyle w:val="google-src-text"/>
        </w:rPr>
        <w:br/>
      </w:r>
      <w:r w:rsidRPr="002F796B">
        <w:rPr>
          <w:rStyle w:val="google-src-text"/>
        </w:rPr>
        <w:t>Tabela 1</w:t>
      </w:r>
    </w:p>
    <w:p w:rsidR="00B3075F" w:rsidRPr="002F796B" w:rsidRDefault="00B3075F" w:rsidP="00B3075F">
      <w:pPr>
        <w:pStyle w:val="PodpisTabeli"/>
        <w:rPr>
          <w:rStyle w:val="google-src-text"/>
          <w:i/>
          <w:iCs/>
        </w:rPr>
      </w:pPr>
      <w:r w:rsidRPr="002F796B">
        <w:rPr>
          <w:rStyle w:val="google-src-text"/>
          <w:i/>
          <w:iCs/>
        </w:rPr>
        <w:t xml:space="preserve">Współczynnik rzetelności </w:t>
      </w:r>
      <w:proofErr w:type="spellStart"/>
      <w:r w:rsidRPr="002F796B">
        <w:rPr>
          <w:rStyle w:val="google-src-text"/>
          <w:i/>
          <w:iCs/>
        </w:rPr>
        <w:t>skal</w:t>
      </w:r>
      <w:proofErr w:type="spellEnd"/>
      <w:r w:rsidRPr="002F796B">
        <w:rPr>
          <w:rStyle w:val="google-src-text"/>
          <w:i/>
          <w:iCs/>
        </w:rPr>
        <w:t xml:space="preserve"> pomiarowych Kwestionariusza </w:t>
      </w:r>
      <w:proofErr w:type="spellStart"/>
      <w:r w:rsidRPr="002F796B">
        <w:rPr>
          <w:rStyle w:val="google-src-text"/>
          <w:i/>
          <w:iCs/>
        </w:rPr>
        <w:t>Zachowań</w:t>
      </w:r>
      <w:proofErr w:type="spellEnd"/>
      <w:r w:rsidRPr="002F796B">
        <w:rPr>
          <w:rStyle w:val="google-src-text"/>
          <w:i/>
          <w:iCs/>
        </w:rPr>
        <w:t xml:space="preserve"> </w:t>
      </w:r>
      <w:proofErr w:type="spellStart"/>
      <w:r w:rsidRPr="002F796B">
        <w:rPr>
          <w:rStyle w:val="google-src-text"/>
          <w:i/>
          <w:iCs/>
        </w:rPr>
        <w:t>Metapoznawczych</w:t>
      </w:r>
      <w:proofErr w:type="spellEnd"/>
    </w:p>
    <w:tbl>
      <w:tblPr>
        <w:tblW w:w="5000" w:type="pct"/>
        <w:tblLook w:val="01E0" w:firstRow="1" w:lastRow="1" w:firstColumn="1" w:lastColumn="1" w:noHBand="0" w:noVBand="0"/>
      </w:tblPr>
      <w:tblGrid>
        <w:gridCol w:w="3128"/>
        <w:gridCol w:w="3071"/>
        <w:gridCol w:w="3089"/>
      </w:tblGrid>
      <w:tr w:rsidR="00B3075F" w:rsidRPr="00F86CE2" w:rsidTr="003F48BC">
        <w:tc>
          <w:tcPr>
            <w:tcW w:w="1684" w:type="pct"/>
            <w:tcBorders>
              <w:top w:val="single" w:sz="4" w:space="0" w:color="auto"/>
              <w:bottom w:val="single" w:sz="4" w:space="0" w:color="auto"/>
            </w:tcBorders>
          </w:tcPr>
          <w:p w:rsidR="00B3075F" w:rsidRPr="00F86CE2" w:rsidRDefault="00B3075F" w:rsidP="003F48BC">
            <w:pPr>
              <w:pStyle w:val="Wramce"/>
              <w:spacing w:before="100" w:after="60"/>
              <w:jc w:val="center"/>
            </w:pPr>
            <w:r w:rsidRPr="00F86CE2">
              <w:t xml:space="preserve">Umiejętności </w:t>
            </w:r>
            <w:proofErr w:type="spellStart"/>
            <w:r w:rsidRPr="00F86CE2">
              <w:t>metapoznawcze</w:t>
            </w:r>
            <w:proofErr w:type="spellEnd"/>
          </w:p>
        </w:tc>
        <w:tc>
          <w:tcPr>
            <w:tcW w:w="1653" w:type="pct"/>
            <w:tcBorders>
              <w:top w:val="single" w:sz="4" w:space="0" w:color="auto"/>
              <w:bottom w:val="single" w:sz="4" w:space="0" w:color="auto"/>
            </w:tcBorders>
          </w:tcPr>
          <w:p w:rsidR="00B3075F" w:rsidRPr="00F86CE2" w:rsidRDefault="00B3075F" w:rsidP="003F48BC">
            <w:pPr>
              <w:pStyle w:val="Wramce"/>
              <w:spacing w:before="100" w:after="60"/>
              <w:jc w:val="center"/>
            </w:pPr>
            <w:r w:rsidRPr="00F86CE2">
              <w:t>Liczba pozycji</w:t>
            </w:r>
          </w:p>
        </w:tc>
        <w:tc>
          <w:tcPr>
            <w:tcW w:w="1663" w:type="pct"/>
            <w:tcBorders>
              <w:top w:val="single" w:sz="4" w:space="0" w:color="auto"/>
              <w:bottom w:val="single" w:sz="4" w:space="0" w:color="auto"/>
            </w:tcBorders>
          </w:tcPr>
          <w:p w:rsidR="00B3075F" w:rsidRPr="00F86CE2" w:rsidRDefault="00B3075F" w:rsidP="003F48BC">
            <w:pPr>
              <w:pStyle w:val="Wramce"/>
              <w:spacing w:before="100" w:after="60"/>
              <w:jc w:val="center"/>
            </w:pPr>
            <w:r w:rsidRPr="00F86CE2">
              <w:t xml:space="preserve">Alfa </w:t>
            </w:r>
            <w:proofErr w:type="spellStart"/>
            <w:r w:rsidRPr="00F86CE2">
              <w:t>Crombaha</w:t>
            </w:r>
            <w:proofErr w:type="spellEnd"/>
          </w:p>
        </w:tc>
      </w:tr>
      <w:tr w:rsidR="00B3075F" w:rsidRPr="00F86CE2" w:rsidTr="003F48BC">
        <w:tc>
          <w:tcPr>
            <w:tcW w:w="1684" w:type="pct"/>
            <w:tcBorders>
              <w:top w:val="single" w:sz="4" w:space="0" w:color="auto"/>
              <w:bottom w:val="single" w:sz="4" w:space="0" w:color="auto"/>
            </w:tcBorders>
          </w:tcPr>
          <w:p w:rsidR="00B3075F" w:rsidRPr="00F86CE2" w:rsidRDefault="00B3075F" w:rsidP="003F48BC">
            <w:pPr>
              <w:pStyle w:val="Wramce"/>
              <w:spacing w:before="100" w:after="60"/>
            </w:pPr>
            <w:r w:rsidRPr="00F86CE2">
              <w:t>Zaangażowanie</w:t>
            </w:r>
          </w:p>
        </w:tc>
        <w:tc>
          <w:tcPr>
            <w:tcW w:w="1653" w:type="pct"/>
            <w:tcBorders>
              <w:top w:val="single" w:sz="4" w:space="0" w:color="auto"/>
              <w:bottom w:val="single" w:sz="4" w:space="0" w:color="auto"/>
            </w:tcBorders>
          </w:tcPr>
          <w:p w:rsidR="00B3075F" w:rsidRPr="00F86CE2" w:rsidRDefault="00B3075F" w:rsidP="003F48BC">
            <w:pPr>
              <w:pStyle w:val="Wramce"/>
              <w:spacing w:before="100" w:after="60"/>
            </w:pPr>
            <w:r w:rsidRPr="00F86CE2">
              <w:t>5</w:t>
            </w:r>
          </w:p>
        </w:tc>
        <w:tc>
          <w:tcPr>
            <w:tcW w:w="1663" w:type="pct"/>
            <w:tcBorders>
              <w:top w:val="single" w:sz="4" w:space="0" w:color="auto"/>
              <w:bottom w:val="single" w:sz="4" w:space="0" w:color="auto"/>
            </w:tcBorders>
          </w:tcPr>
          <w:p w:rsidR="00B3075F" w:rsidRPr="00F86CE2" w:rsidRDefault="00B3075F" w:rsidP="003F48BC">
            <w:pPr>
              <w:pStyle w:val="Wramce"/>
              <w:spacing w:before="100" w:after="60"/>
            </w:pPr>
            <w:r w:rsidRPr="00F86CE2">
              <w:t>0,7</w:t>
            </w:r>
            <w:r>
              <w:t>1</w:t>
            </w:r>
          </w:p>
        </w:tc>
      </w:tr>
      <w:tr w:rsidR="00B3075F" w:rsidRPr="00F86CE2" w:rsidTr="003F48BC">
        <w:tc>
          <w:tcPr>
            <w:tcW w:w="1684" w:type="pct"/>
            <w:tcBorders>
              <w:top w:val="single" w:sz="4" w:space="0" w:color="auto"/>
              <w:bottom w:val="single" w:sz="4" w:space="0" w:color="auto"/>
            </w:tcBorders>
          </w:tcPr>
          <w:p w:rsidR="00B3075F" w:rsidRPr="00F86CE2" w:rsidRDefault="00B3075F" w:rsidP="003F48BC">
            <w:pPr>
              <w:pStyle w:val="Wramce"/>
              <w:spacing w:before="100" w:after="60"/>
            </w:pPr>
            <w:r w:rsidRPr="00F86CE2">
              <w:t>Planowanie</w:t>
            </w:r>
          </w:p>
        </w:tc>
        <w:tc>
          <w:tcPr>
            <w:tcW w:w="1653" w:type="pct"/>
            <w:tcBorders>
              <w:top w:val="single" w:sz="4" w:space="0" w:color="auto"/>
              <w:bottom w:val="single" w:sz="4" w:space="0" w:color="auto"/>
            </w:tcBorders>
          </w:tcPr>
          <w:p w:rsidR="00B3075F" w:rsidRPr="00F86CE2" w:rsidRDefault="00B3075F" w:rsidP="003F48BC">
            <w:pPr>
              <w:pStyle w:val="Wramce"/>
              <w:spacing w:before="100" w:after="60"/>
            </w:pPr>
            <w:r w:rsidRPr="00F86CE2">
              <w:t>4</w:t>
            </w:r>
          </w:p>
        </w:tc>
        <w:tc>
          <w:tcPr>
            <w:tcW w:w="1663" w:type="pct"/>
            <w:tcBorders>
              <w:top w:val="single" w:sz="4" w:space="0" w:color="auto"/>
              <w:bottom w:val="single" w:sz="4" w:space="0" w:color="auto"/>
            </w:tcBorders>
          </w:tcPr>
          <w:p w:rsidR="00B3075F" w:rsidRPr="00F86CE2" w:rsidRDefault="00B3075F" w:rsidP="003F48BC">
            <w:pPr>
              <w:pStyle w:val="Wramce"/>
              <w:spacing w:before="100" w:after="60"/>
            </w:pPr>
            <w:r w:rsidRPr="00F86CE2">
              <w:t>0,70</w:t>
            </w:r>
          </w:p>
        </w:tc>
      </w:tr>
      <w:tr w:rsidR="00B3075F" w:rsidRPr="00F86CE2" w:rsidTr="003F48BC">
        <w:tc>
          <w:tcPr>
            <w:tcW w:w="1684" w:type="pct"/>
            <w:tcBorders>
              <w:top w:val="single" w:sz="4" w:space="0" w:color="auto"/>
              <w:bottom w:val="single" w:sz="4" w:space="0" w:color="auto"/>
            </w:tcBorders>
          </w:tcPr>
          <w:p w:rsidR="00B3075F" w:rsidRPr="00F86CE2" w:rsidRDefault="00B3075F" w:rsidP="003F48BC">
            <w:pPr>
              <w:pStyle w:val="Wramce"/>
              <w:spacing w:before="100" w:after="60"/>
            </w:pPr>
            <w:r w:rsidRPr="00F86CE2">
              <w:t>Monitorowanie</w:t>
            </w:r>
          </w:p>
        </w:tc>
        <w:tc>
          <w:tcPr>
            <w:tcW w:w="1653" w:type="pct"/>
            <w:tcBorders>
              <w:top w:val="single" w:sz="4" w:space="0" w:color="auto"/>
              <w:bottom w:val="single" w:sz="4" w:space="0" w:color="auto"/>
            </w:tcBorders>
          </w:tcPr>
          <w:p w:rsidR="00B3075F" w:rsidRPr="00F86CE2" w:rsidRDefault="00B3075F" w:rsidP="003F48BC">
            <w:pPr>
              <w:pStyle w:val="Wramce"/>
              <w:spacing w:before="100" w:after="60"/>
            </w:pPr>
            <w:r w:rsidRPr="00F86CE2">
              <w:t>4</w:t>
            </w:r>
          </w:p>
        </w:tc>
        <w:tc>
          <w:tcPr>
            <w:tcW w:w="1663" w:type="pct"/>
            <w:tcBorders>
              <w:top w:val="single" w:sz="4" w:space="0" w:color="auto"/>
              <w:bottom w:val="single" w:sz="4" w:space="0" w:color="auto"/>
            </w:tcBorders>
          </w:tcPr>
          <w:p w:rsidR="00B3075F" w:rsidRPr="00F86CE2" w:rsidRDefault="00B3075F" w:rsidP="003F48BC">
            <w:pPr>
              <w:pStyle w:val="Wramce"/>
              <w:spacing w:before="100" w:after="60"/>
            </w:pPr>
            <w:r w:rsidRPr="00F86CE2">
              <w:t>0,5</w:t>
            </w:r>
            <w:r>
              <w:t>7</w:t>
            </w:r>
          </w:p>
        </w:tc>
      </w:tr>
      <w:tr w:rsidR="00B3075F" w:rsidRPr="00F86CE2" w:rsidTr="003F48BC">
        <w:tc>
          <w:tcPr>
            <w:tcW w:w="1684" w:type="pct"/>
            <w:tcBorders>
              <w:top w:val="single" w:sz="4" w:space="0" w:color="auto"/>
              <w:bottom w:val="single" w:sz="4" w:space="0" w:color="auto"/>
            </w:tcBorders>
          </w:tcPr>
          <w:p w:rsidR="00B3075F" w:rsidRPr="00F86CE2" w:rsidRDefault="00B3075F" w:rsidP="003F48BC">
            <w:pPr>
              <w:pStyle w:val="Wramce"/>
              <w:spacing w:before="100" w:after="60"/>
            </w:pPr>
            <w:r w:rsidRPr="00F86CE2">
              <w:t>Ocena</w:t>
            </w:r>
          </w:p>
        </w:tc>
        <w:tc>
          <w:tcPr>
            <w:tcW w:w="1653" w:type="pct"/>
            <w:tcBorders>
              <w:top w:val="single" w:sz="4" w:space="0" w:color="auto"/>
              <w:bottom w:val="single" w:sz="4" w:space="0" w:color="auto"/>
            </w:tcBorders>
          </w:tcPr>
          <w:p w:rsidR="00B3075F" w:rsidRPr="00F86CE2" w:rsidRDefault="00B3075F" w:rsidP="003F48BC">
            <w:pPr>
              <w:pStyle w:val="Wramce"/>
              <w:spacing w:before="100" w:after="60"/>
            </w:pPr>
            <w:r w:rsidRPr="00F86CE2">
              <w:t>3</w:t>
            </w:r>
          </w:p>
        </w:tc>
        <w:tc>
          <w:tcPr>
            <w:tcW w:w="1663" w:type="pct"/>
            <w:tcBorders>
              <w:top w:val="single" w:sz="4" w:space="0" w:color="auto"/>
              <w:bottom w:val="single" w:sz="4" w:space="0" w:color="auto"/>
            </w:tcBorders>
          </w:tcPr>
          <w:p w:rsidR="00B3075F" w:rsidRPr="00F86CE2" w:rsidRDefault="00B3075F" w:rsidP="003F48BC">
            <w:pPr>
              <w:pStyle w:val="Wramce"/>
              <w:spacing w:before="100" w:after="60"/>
            </w:pPr>
            <w:r w:rsidRPr="00F86CE2">
              <w:t>0,89</w:t>
            </w:r>
          </w:p>
        </w:tc>
      </w:tr>
      <w:tr w:rsidR="00B3075F" w:rsidRPr="00F86CE2" w:rsidTr="003F48BC">
        <w:tc>
          <w:tcPr>
            <w:tcW w:w="1684" w:type="pct"/>
            <w:tcBorders>
              <w:top w:val="single" w:sz="4" w:space="0" w:color="auto"/>
              <w:bottom w:val="single" w:sz="4" w:space="0" w:color="auto"/>
            </w:tcBorders>
          </w:tcPr>
          <w:p w:rsidR="00B3075F" w:rsidRPr="00F86CE2" w:rsidRDefault="00B3075F" w:rsidP="003F48BC">
            <w:pPr>
              <w:pStyle w:val="Wramce"/>
              <w:spacing w:before="100" w:after="60"/>
            </w:pPr>
            <w:r>
              <w:t>Kalibracja</w:t>
            </w:r>
          </w:p>
        </w:tc>
        <w:tc>
          <w:tcPr>
            <w:tcW w:w="1653" w:type="pct"/>
            <w:tcBorders>
              <w:top w:val="single" w:sz="4" w:space="0" w:color="auto"/>
              <w:bottom w:val="single" w:sz="4" w:space="0" w:color="auto"/>
            </w:tcBorders>
          </w:tcPr>
          <w:p w:rsidR="00B3075F" w:rsidRPr="00F86CE2" w:rsidRDefault="00B3075F" w:rsidP="003F48BC">
            <w:pPr>
              <w:pStyle w:val="Wramce"/>
              <w:spacing w:before="100" w:after="60"/>
            </w:pPr>
            <w:r>
              <w:t>1</w:t>
            </w:r>
          </w:p>
        </w:tc>
        <w:tc>
          <w:tcPr>
            <w:tcW w:w="1663" w:type="pct"/>
            <w:tcBorders>
              <w:top w:val="single" w:sz="4" w:space="0" w:color="auto"/>
              <w:bottom w:val="single" w:sz="4" w:space="0" w:color="auto"/>
            </w:tcBorders>
          </w:tcPr>
          <w:p w:rsidR="00B3075F" w:rsidRPr="00F86CE2" w:rsidRDefault="00B3075F" w:rsidP="003F48BC">
            <w:pPr>
              <w:pStyle w:val="Wramce"/>
              <w:spacing w:before="100" w:after="60"/>
            </w:pPr>
            <w:r>
              <w:t>-</w:t>
            </w:r>
          </w:p>
        </w:tc>
      </w:tr>
    </w:tbl>
    <w:p w:rsidR="00B3075F" w:rsidRDefault="00B3075F" w:rsidP="00B3075F"/>
    <w:p w:rsidR="00B3075F" w:rsidRPr="00F86CE2" w:rsidRDefault="00B3075F" w:rsidP="00B3075F">
      <w:r w:rsidRPr="00F86CE2">
        <w:t>Skal</w:t>
      </w:r>
      <w:r>
        <w:t xml:space="preserve">e pomiarowe kwestionariusza </w:t>
      </w:r>
      <w:r w:rsidRPr="00F86CE2">
        <w:t xml:space="preserve"> osiąga</w:t>
      </w:r>
      <w:r>
        <w:t xml:space="preserve">ją zadowalający poziom </w:t>
      </w:r>
      <w:proofErr w:type="spellStart"/>
      <w:r>
        <w:t>spójnosci</w:t>
      </w:r>
      <w:proofErr w:type="spellEnd"/>
      <w:r>
        <w:t xml:space="preserve"> wewnętrznej, za wyjątkiem skali </w:t>
      </w:r>
      <w:r>
        <w:rPr>
          <w:i/>
        </w:rPr>
        <w:t xml:space="preserve">Monitorowanie. </w:t>
      </w:r>
      <w:r w:rsidRPr="00493413">
        <w:t>Zostanie to uwzględnione w interpretacji uzyskanych wyników badań</w:t>
      </w:r>
      <w:r w:rsidRPr="00F86CE2">
        <w:t>.</w:t>
      </w:r>
    </w:p>
    <w:p w:rsidR="00B3075F" w:rsidRPr="00F86CE2" w:rsidRDefault="00B3075F" w:rsidP="00B3075F">
      <w:pPr>
        <w:pStyle w:val="Heading2"/>
      </w:pPr>
      <w:bookmarkStart w:id="8" w:name="_Toc289023807"/>
      <w:bookmarkStart w:id="9" w:name="_Toc292293568"/>
      <w:bookmarkStart w:id="10" w:name="_Toc302846898"/>
      <w:r w:rsidRPr="00F86CE2">
        <w:t xml:space="preserve">Zadania </w:t>
      </w:r>
      <w:r>
        <w:t xml:space="preserve">z </w:t>
      </w:r>
      <w:r w:rsidRPr="00F86CE2">
        <w:t>fizy</w:t>
      </w:r>
      <w:r>
        <w:t>ki</w:t>
      </w:r>
      <w:bookmarkEnd w:id="8"/>
      <w:bookmarkEnd w:id="9"/>
      <w:bookmarkEnd w:id="10"/>
    </w:p>
    <w:p w:rsidR="00B3075F" w:rsidRPr="00F86CE2" w:rsidRDefault="00B3075F" w:rsidP="00B3075F">
      <w:r w:rsidRPr="00F86CE2">
        <w:t>Zadania były przygotowane przez nauczycieli uczących w gimnazjum zgodnie z Programem Nauczania Fizyki w klasie II w gimnazjum. Uczniowie mieli za zadanie rozwiązać dwa problemy fizyczne. Zadania były tak skonstruowane aby dostępność poznawcza była jak największa (wykorzystanie dwóch najczęściej ćwiczonych na lekcjach wzorów), nie wymagały rozległej wiedzy w sposób formalny ale różnicowały uczniów pod względem umiejętności wychodzenia poza najczęściej stosowane schematy rozwiązywania zadań.</w:t>
      </w:r>
    </w:p>
    <w:p w:rsidR="00B3075F" w:rsidRPr="00F86CE2" w:rsidRDefault="00B3075F" w:rsidP="00B3075F">
      <w:r w:rsidRPr="00F86CE2">
        <w:t>Zadania wymagały od uczniów wyselekcjonowania istotnych dla problemu informacji, dostrzeżenia zależności pomiędzy parametrami. Sformułowanie problemu dawało możliwość stosowania szeregu rozmaitych strategii i kombinacji.</w:t>
      </w:r>
    </w:p>
    <w:p w:rsidR="00B3075F" w:rsidRDefault="00B3075F" w:rsidP="00B3075F">
      <w:r w:rsidRPr="00F86CE2">
        <w:t xml:space="preserve">W grupach eksperymentalnych do treści zadań był dołączony </w:t>
      </w:r>
      <w:r w:rsidRPr="004323D1">
        <w:rPr>
          <w:i/>
        </w:rPr>
        <w:t xml:space="preserve">Kwestionariusz </w:t>
      </w:r>
      <w:proofErr w:type="spellStart"/>
      <w:r w:rsidRPr="004323D1">
        <w:rPr>
          <w:i/>
        </w:rPr>
        <w:t>Zachowań</w:t>
      </w:r>
      <w:proofErr w:type="spellEnd"/>
      <w:r w:rsidRPr="004323D1">
        <w:rPr>
          <w:i/>
        </w:rPr>
        <w:t xml:space="preserve"> </w:t>
      </w:r>
      <w:proofErr w:type="spellStart"/>
      <w:r w:rsidRPr="004323D1">
        <w:rPr>
          <w:i/>
        </w:rPr>
        <w:t>Metapoznawczych</w:t>
      </w:r>
      <w:proofErr w:type="spellEnd"/>
      <w:r w:rsidRPr="00F86CE2">
        <w:t xml:space="preserve"> w którym przewidziano miejsce na rozwiązania zadania przy okazji udzielanych odpowiedzi na pytania kwestionariusza.</w:t>
      </w:r>
      <w:r>
        <w:t xml:space="preserve"> </w:t>
      </w:r>
    </w:p>
    <w:p w:rsidR="00B3075F" w:rsidRDefault="00B3075F" w:rsidP="00B3075F">
      <w:r>
        <w:t>Treść</w:t>
      </w:r>
      <w:r w:rsidRPr="005154AA">
        <w:t xml:space="preserve"> </w:t>
      </w:r>
      <w:r>
        <w:t>wykorzystanych zadań umieszczono w załączniku.</w:t>
      </w:r>
    </w:p>
    <w:p w:rsidR="00B3075F" w:rsidRDefault="00B3075F" w:rsidP="00B3075F">
      <w:pPr>
        <w:pStyle w:val="Heading2"/>
      </w:pPr>
      <w:bookmarkStart w:id="11" w:name="_Toc302846899"/>
      <w:r>
        <w:t xml:space="preserve">Opis procedury treningu </w:t>
      </w:r>
      <w:proofErr w:type="spellStart"/>
      <w:r>
        <w:t>metapoznawczego</w:t>
      </w:r>
      <w:bookmarkEnd w:id="11"/>
      <w:proofErr w:type="spellEnd"/>
    </w:p>
    <w:p w:rsidR="00B3075F" w:rsidRPr="005A5BA2" w:rsidRDefault="00B3075F" w:rsidP="00B3075F">
      <w:r w:rsidRPr="005A5BA2">
        <w:t xml:space="preserve">W treningu </w:t>
      </w:r>
      <w:proofErr w:type="spellStart"/>
      <w:r w:rsidRPr="005A5BA2">
        <w:t>metapoznawczym</w:t>
      </w:r>
      <w:proofErr w:type="spellEnd"/>
      <w:r w:rsidRPr="005A5BA2">
        <w:t xml:space="preserve">, opisanym szczegółowo w rozdziale 1.4, wzięło udział 24 uczniów klasy II gimnazjum. Zajęcia treningowe odbywały w ramach lekcji fizyki 2 razy w tygodniu przez okres 6 miesięcy. Podstawowym założeniem był wzrost kompetencji </w:t>
      </w:r>
      <w:proofErr w:type="spellStart"/>
      <w:r w:rsidRPr="005A5BA2">
        <w:t>metapoznawczych</w:t>
      </w:r>
      <w:proofErr w:type="spellEnd"/>
      <w:r w:rsidRPr="005A5BA2">
        <w:t xml:space="preserve"> u uczniów, a co za tym idzie podniesienie efektów nauczania. Nie należy zapominać bowiem, że w trakcie zajęć uczniowie mieli po prostu opanować materiał wynikający z programu nauczania. Założono, że umiejętności </w:t>
      </w:r>
      <w:proofErr w:type="spellStart"/>
      <w:r w:rsidRPr="005A5BA2">
        <w:t>metapoznawcze</w:t>
      </w:r>
      <w:proofErr w:type="spellEnd"/>
      <w:r w:rsidRPr="005A5BA2">
        <w:t xml:space="preserve"> ułatwią osiągnięcie tego celu, co w istocie miało miejsce.</w:t>
      </w:r>
    </w:p>
    <w:p w:rsidR="00B3075F" w:rsidRPr="005A5BA2" w:rsidRDefault="00B3075F" w:rsidP="00B3075F">
      <w:r w:rsidRPr="005A5BA2">
        <w:t xml:space="preserve">Założony wzrost kompetencji </w:t>
      </w:r>
      <w:proofErr w:type="spellStart"/>
      <w:r w:rsidRPr="005A5BA2">
        <w:t>metapoznawczych</w:t>
      </w:r>
      <w:proofErr w:type="spellEnd"/>
      <w:r w:rsidRPr="005A5BA2">
        <w:t xml:space="preserve"> zawierał: kształcenie umiejętności monitorowania własnej wiedzy; bycie skutecznym; poznanie technik graficznych ułatwiających analizę tekstu i zadań otwartych, selekcję i porządkowanie informacji oraz łatwiejsze ich zapamiętywanie; poczucie kalibracji; opanowanie strategii heurystycznych. Przyjęte metody wymuszały na uczniach samodzielne realizowanie doświadczeń, wysoką aktywność w opracowywaniu wyników i treści, zwiększały refleksyjność nad własną wiedzą. Uczeń na każdych tego typu zajęciach: przewidywał, planował, monitorował i ewaluował swoją wiedzę odpowiadając na pytania </w:t>
      </w:r>
      <w:proofErr w:type="spellStart"/>
      <w:r w:rsidRPr="005A5BA2">
        <w:t>metapoznawcze</w:t>
      </w:r>
      <w:proofErr w:type="spellEnd"/>
      <w:r w:rsidRPr="005A5BA2">
        <w:t>.</w:t>
      </w:r>
    </w:p>
    <w:p w:rsidR="00B3075F" w:rsidRPr="00F86CE2" w:rsidRDefault="00B3075F" w:rsidP="00B3075F">
      <w:pPr>
        <w:pStyle w:val="Heading2"/>
      </w:pPr>
      <w:bookmarkStart w:id="12" w:name="_Toc289023808"/>
      <w:bookmarkStart w:id="13" w:name="_Toc292293569"/>
      <w:bookmarkStart w:id="14" w:name="_Toc302846900"/>
      <w:r w:rsidRPr="00F86CE2">
        <w:t>Procedura badania</w:t>
      </w:r>
      <w:bookmarkEnd w:id="12"/>
      <w:bookmarkEnd w:id="13"/>
      <w:bookmarkEnd w:id="14"/>
    </w:p>
    <w:p w:rsidR="00B3075F" w:rsidRPr="00F86CE2" w:rsidRDefault="00B3075F" w:rsidP="00B3075F">
      <w:r w:rsidRPr="00F86CE2">
        <w:t>Badanie przeprowadzono w 2010 roku</w:t>
      </w:r>
      <w:r>
        <w:t xml:space="preserve"> </w:t>
      </w:r>
      <w:r w:rsidRPr="00F86CE2">
        <w:t>w Gimnazjum nr 2 w Polkowicach. Wzięło w nim udział 67 uczniów. Uczestnikami badań byli uczniowie drugiej klasy gimnazjum osiągające średnie wyni</w:t>
      </w:r>
      <w:r>
        <w:t>ki w nauce (</w:t>
      </w:r>
      <w:r w:rsidRPr="00F86CE2">
        <w:t xml:space="preserve">obliczone na podstawie średnich ocen z dwóch sprawdzianów oraz osiągnięć z fizyki na pierwsze półrocze roku szkolnego 2009/2010 ) </w:t>
      </w:r>
    </w:p>
    <w:p w:rsidR="00B3075F" w:rsidRPr="00F86CE2" w:rsidRDefault="00B3075F" w:rsidP="00B3075F">
      <w:r w:rsidRPr="00F86CE2">
        <w:t>W pracy zastosowano celowy dobór do badań (Brzeziński, 1999, s. 231). Polega on na celowym doborze określonych osób do grupy badawczej. Zdaniem Brzezińskiego jedynie losowy dobór grupy do badań gwarantuje uzyskanie właściwej próby reprezentatywnej. Jedynie na niej przeprowadzone badanie empiryczne będzie cechowała wysoka trafność zewnętrzna. Jednakże mając na uwadze specyfikę tego badania, które zostało przeprowadzone na niewielkiej grupie uczniów należących do trzech oddziałów (z uwagi na odbywające się lekcje fizyki) wymusiło to zastosowanie doboru celowego osób. Autor jednak zwraca uwagę, że przy dokonywaniu oszacowań opartych na tak dobranej grupie badawczej należy być ostrożnym przy formułowaniu wniosków, które miałyby wykraczać poza grupę badaną, gdyż może ona nie adekwatnie odzwierciedlać strukturę całej populacji.</w:t>
      </w:r>
    </w:p>
    <w:p w:rsidR="00B3075F" w:rsidRPr="00F86CE2" w:rsidRDefault="00B3075F" w:rsidP="00B3075F">
      <w:r w:rsidRPr="00F86CE2">
        <w:t xml:space="preserve">W niniejszych badaniach zastosowano procedurę doboru celowego uczniów w wieku 14 lat, którzy przynależą do określonej klasy. W sumie w badaniu wzięły udział 3 oddziały klasowe z których dwie pobierały lekcje fizyki metodami tradycyjnymi a druga grupa odbyła 6 miesięczny </w:t>
      </w:r>
      <w:r>
        <w:t>a</w:t>
      </w:r>
      <w:r w:rsidRPr="00F86CE2">
        <w:t xml:space="preserve">utorski </w:t>
      </w:r>
      <w:r>
        <w:t xml:space="preserve">trening </w:t>
      </w:r>
      <w:proofErr w:type="spellStart"/>
      <w:r>
        <w:t>metapoznawczy</w:t>
      </w:r>
      <w:proofErr w:type="spellEnd"/>
      <w:r w:rsidRPr="00F86CE2">
        <w:t xml:space="preserve"> </w:t>
      </w:r>
      <w:r>
        <w:t>„</w:t>
      </w:r>
      <w:proofErr w:type="spellStart"/>
      <w:r w:rsidRPr="00F86CE2">
        <w:t>Metapoznanie</w:t>
      </w:r>
      <w:proofErr w:type="spellEnd"/>
      <w:r w:rsidRPr="00F86CE2">
        <w:t xml:space="preserve"> na lekcjach fizyki</w:t>
      </w:r>
      <w:r>
        <w:t>”</w:t>
      </w:r>
      <w:r w:rsidRPr="00F86CE2">
        <w:t xml:space="preserve"> .</w:t>
      </w:r>
    </w:p>
    <w:p w:rsidR="00B3075F" w:rsidRDefault="00B3075F" w:rsidP="00B3075F">
      <w:pPr>
        <w:pStyle w:val="StylPunktowane"/>
        <w:numPr>
          <w:ilvl w:val="0"/>
          <w:numId w:val="0"/>
        </w:numPr>
        <w:ind w:firstLine="708"/>
      </w:pPr>
      <w:r w:rsidRPr="00F86CE2">
        <w:t>Wykorzystano quasi-ek</w:t>
      </w:r>
      <w:r>
        <w:t>speryment z podwójnym pomiarem zmiennych (</w:t>
      </w:r>
      <w:proofErr w:type="spellStart"/>
      <w:r>
        <w:t>pre</w:t>
      </w:r>
      <w:proofErr w:type="spellEnd"/>
      <w:r>
        <w:t xml:space="preserve">- i post-test). Jako wyniki </w:t>
      </w:r>
      <w:proofErr w:type="spellStart"/>
      <w:r>
        <w:t>pretestu</w:t>
      </w:r>
      <w:proofErr w:type="spellEnd"/>
      <w:r>
        <w:t xml:space="preserve"> wzięto rezultaty uzyskane przez uczniów w trakcie sprawdzianu przeprowadzonego na początku roku szkolnego (przed rozpoczęciem treningu). Post-test był sprawdzianem z otwartymi (nietypowymi) zadaniami z fizyki. O obu fazach eksperymentu brały udział trzy grupy:</w:t>
      </w:r>
    </w:p>
    <w:p w:rsidR="00B3075F" w:rsidRDefault="00B3075F" w:rsidP="00B3075F">
      <w:pPr>
        <w:pStyle w:val="StylPunktowane"/>
        <w:tabs>
          <w:tab w:val="clear" w:pos="-351"/>
          <w:tab w:val="num" w:pos="720"/>
        </w:tabs>
      </w:pPr>
      <w:r w:rsidRPr="00F86CE2">
        <w:t>grupa eksperymentalna</w:t>
      </w:r>
      <w:r>
        <w:t xml:space="preserve"> z treningiem </w:t>
      </w:r>
      <w:proofErr w:type="spellStart"/>
      <w:r>
        <w:t>metapoznawczym</w:t>
      </w:r>
      <w:proofErr w:type="spellEnd"/>
      <w:r w:rsidRPr="00F86CE2">
        <w:t>, która rozwiązywała za</w:t>
      </w:r>
      <w:r>
        <w:t>dania oraz odbyła 6 miesięczny trening</w:t>
      </w:r>
      <w:r w:rsidRPr="00F86CE2">
        <w:t xml:space="preserve"> z zakres</w:t>
      </w:r>
      <w:r>
        <w:t xml:space="preserve">u umiejętności </w:t>
      </w:r>
      <w:proofErr w:type="spellStart"/>
      <w:r>
        <w:t>metapoznawczych</w:t>
      </w:r>
      <w:proofErr w:type="spellEnd"/>
      <w:r>
        <w:t xml:space="preserve">. W trakcie rozwiązywania zadań również wypełniała formularz. </w:t>
      </w:r>
    </w:p>
    <w:p w:rsidR="00B3075F" w:rsidRDefault="00B3075F" w:rsidP="00B3075F">
      <w:pPr>
        <w:pStyle w:val="StylPunktowane"/>
        <w:tabs>
          <w:tab w:val="clear" w:pos="-351"/>
          <w:tab w:val="num" w:pos="720"/>
        </w:tabs>
      </w:pPr>
      <w:r w:rsidRPr="00F86CE2">
        <w:t>grupa eksperymentalna</w:t>
      </w:r>
      <w:r>
        <w:t xml:space="preserve"> z aktywizacją </w:t>
      </w:r>
      <w:proofErr w:type="spellStart"/>
      <w:r>
        <w:t>metapoznawczą</w:t>
      </w:r>
      <w:proofErr w:type="spellEnd"/>
      <w:r w:rsidRPr="00F86CE2">
        <w:t>, która rozwiązywała zadania i wypełniała kwestionariusz</w:t>
      </w:r>
      <w:r>
        <w:t xml:space="preserve"> w celu pomiaru umiejętności </w:t>
      </w:r>
      <w:proofErr w:type="spellStart"/>
      <w:r>
        <w:t>metapoznawczych</w:t>
      </w:r>
      <w:proofErr w:type="spellEnd"/>
      <w:r>
        <w:t xml:space="preserve"> – aktywizacja kompetencji </w:t>
      </w:r>
      <w:proofErr w:type="spellStart"/>
      <w:r>
        <w:t>metapoznawczych</w:t>
      </w:r>
      <w:proofErr w:type="spellEnd"/>
      <w:r>
        <w:t xml:space="preserve"> miała nastąpić przy czytaniu pytań formularza w trakcie rozwiązywania zadań (bez przejścia treningu);</w:t>
      </w:r>
    </w:p>
    <w:p w:rsidR="00B3075F" w:rsidRPr="00F86CE2" w:rsidRDefault="00B3075F" w:rsidP="00B3075F">
      <w:pPr>
        <w:pStyle w:val="StylPunktowane"/>
        <w:tabs>
          <w:tab w:val="clear" w:pos="-351"/>
          <w:tab w:val="num" w:pos="720"/>
        </w:tabs>
      </w:pPr>
      <w:r w:rsidRPr="00F86CE2">
        <w:t xml:space="preserve">grupy kontrolna, która rozwiązywała </w:t>
      </w:r>
      <w:r>
        <w:t xml:space="preserve">jedynie </w:t>
      </w:r>
      <w:r w:rsidRPr="00F86CE2">
        <w:t>zadania fizyczne</w:t>
      </w:r>
      <w:r>
        <w:t>;</w:t>
      </w:r>
    </w:p>
    <w:p w:rsidR="00B3075F" w:rsidRDefault="00B3075F" w:rsidP="00B3075F">
      <w:r>
        <w:t xml:space="preserve">Do przetestowania hipotezy H1 wstępnie wzięto pod uwagę wszystkich uczniów, którzy wypełniali ankietę. </w:t>
      </w:r>
    </w:p>
    <w:p w:rsidR="00B3075F" w:rsidRDefault="00B3075F" w:rsidP="00B3075F">
      <w:r>
        <w:t>Przy testowaniu hipotez H2 i H3 d</w:t>
      </w:r>
      <w:r w:rsidRPr="00F86CE2">
        <w:t>o grupy kon</w:t>
      </w:r>
      <w:r>
        <w:t xml:space="preserve">trolnej byli </w:t>
      </w:r>
      <w:r w:rsidRPr="00F86CE2">
        <w:t>d</w:t>
      </w:r>
      <w:r>
        <w:t>o</w:t>
      </w:r>
      <w:r w:rsidRPr="00F86CE2">
        <w:t>bierani u</w:t>
      </w:r>
      <w:r>
        <w:t xml:space="preserve">czniowie na podstawie </w:t>
      </w:r>
      <w:proofErr w:type="spellStart"/>
      <w:r>
        <w:t>pre</w:t>
      </w:r>
      <w:proofErr w:type="spellEnd"/>
      <w:r>
        <w:t>-testu (</w:t>
      </w:r>
      <w:r w:rsidRPr="00F86CE2">
        <w:t xml:space="preserve">średnia dwóch wyników ze sprawdzianów z fizyki), który umożliwił selekcję uczniów o podobnych osiągnięciach jak uczniowie w grupie eksperymentalnej. </w:t>
      </w:r>
      <w:proofErr w:type="spellStart"/>
      <w:r w:rsidRPr="00F86CE2">
        <w:t>Pre</w:t>
      </w:r>
      <w:proofErr w:type="spellEnd"/>
      <w:r w:rsidRPr="00F86CE2">
        <w:t>-testowi poddanych zostało 33 uczniów w grupie kontrolne</w:t>
      </w:r>
      <w:r>
        <w:t xml:space="preserve">j, w grupie eksperymentalnej „z treningiem” </w:t>
      </w:r>
      <w:r w:rsidRPr="00F86CE2">
        <w:t xml:space="preserve">15, a grupie eksperymentalnej </w:t>
      </w:r>
      <w:r>
        <w:t>„</w:t>
      </w:r>
      <w:r w:rsidRPr="00F86CE2">
        <w:t xml:space="preserve">z </w:t>
      </w:r>
      <w:r>
        <w:t>aktywizacją”</w:t>
      </w:r>
      <w:r w:rsidRPr="00F86CE2">
        <w:t xml:space="preserve"> 19 (3 osoby z ocenami bardzo dobrymi nie zostały wzięte pod uwagę)</w:t>
      </w:r>
      <w:r>
        <w:t xml:space="preserve">. Rozkład wyników uzyskanych w </w:t>
      </w:r>
      <w:proofErr w:type="spellStart"/>
      <w:r>
        <w:t>preteście</w:t>
      </w:r>
      <w:proofErr w:type="spellEnd"/>
      <w:r>
        <w:t xml:space="preserve"> przedstawia tabela 2.</w:t>
      </w:r>
    </w:p>
    <w:p w:rsidR="00B3075F" w:rsidRDefault="00B3075F" w:rsidP="00B3075F">
      <w:pPr>
        <w:ind w:firstLine="0"/>
      </w:pPr>
    </w:p>
    <w:p w:rsidR="00B3075F" w:rsidRDefault="00B3075F" w:rsidP="00B3075F">
      <w:pPr>
        <w:pStyle w:val="PodpisTabeli"/>
      </w:pPr>
      <w:r>
        <w:t>Tabela 2</w:t>
      </w:r>
    </w:p>
    <w:p w:rsidR="00B3075F" w:rsidRPr="00F6308D" w:rsidRDefault="00B3075F" w:rsidP="00B3075F">
      <w:pPr>
        <w:pStyle w:val="PodpisTabeli"/>
        <w:rPr>
          <w:i/>
        </w:rPr>
      </w:pPr>
      <w:r w:rsidRPr="00F6308D">
        <w:rPr>
          <w:i/>
        </w:rPr>
        <w:t xml:space="preserve">Wyniki </w:t>
      </w:r>
      <w:proofErr w:type="spellStart"/>
      <w:r w:rsidRPr="00F6308D">
        <w:rPr>
          <w:i/>
        </w:rPr>
        <w:t>pre</w:t>
      </w:r>
      <w:proofErr w:type="spellEnd"/>
      <w:r w:rsidRPr="00F6308D">
        <w:rPr>
          <w:i/>
        </w:rPr>
        <w:t>-testu w poszczególnych grupach.</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34"/>
        <w:gridCol w:w="2316"/>
        <w:gridCol w:w="2316"/>
        <w:gridCol w:w="2322"/>
      </w:tblGrid>
      <w:tr w:rsidR="00B3075F" w:rsidRPr="00F86CE2" w:rsidTr="003F48BC">
        <w:tc>
          <w:tcPr>
            <w:tcW w:w="1256" w:type="pct"/>
            <w:tcBorders>
              <w:right w:val="nil"/>
            </w:tcBorders>
          </w:tcPr>
          <w:p w:rsidR="00B3075F" w:rsidRPr="00F86CE2" w:rsidRDefault="00B3075F" w:rsidP="003F48BC">
            <w:pPr>
              <w:pStyle w:val="Wramce"/>
              <w:spacing w:before="100" w:after="60"/>
              <w:jc w:val="center"/>
            </w:pPr>
            <w:r w:rsidRPr="00F86CE2">
              <w:t>Ocena</w:t>
            </w:r>
          </w:p>
        </w:tc>
        <w:tc>
          <w:tcPr>
            <w:tcW w:w="1247" w:type="pct"/>
            <w:tcBorders>
              <w:left w:val="nil"/>
              <w:right w:val="nil"/>
            </w:tcBorders>
          </w:tcPr>
          <w:p w:rsidR="00B3075F" w:rsidRPr="00F86CE2" w:rsidRDefault="00B3075F" w:rsidP="003F48BC">
            <w:pPr>
              <w:pStyle w:val="Wramce"/>
              <w:spacing w:before="100" w:after="60"/>
              <w:jc w:val="center"/>
            </w:pPr>
            <w:r>
              <w:t>grupa z treningiem</w:t>
            </w:r>
          </w:p>
        </w:tc>
        <w:tc>
          <w:tcPr>
            <w:tcW w:w="1247" w:type="pct"/>
            <w:tcBorders>
              <w:left w:val="nil"/>
              <w:right w:val="nil"/>
            </w:tcBorders>
          </w:tcPr>
          <w:p w:rsidR="00B3075F" w:rsidRPr="00F86CE2" w:rsidRDefault="00B3075F" w:rsidP="003F48BC">
            <w:pPr>
              <w:pStyle w:val="Wramce"/>
              <w:spacing w:before="100" w:after="60"/>
              <w:jc w:val="center"/>
            </w:pPr>
            <w:r>
              <w:t>grupa z aktywizacją</w:t>
            </w:r>
          </w:p>
        </w:tc>
        <w:tc>
          <w:tcPr>
            <w:tcW w:w="1250" w:type="pct"/>
            <w:tcBorders>
              <w:left w:val="nil"/>
            </w:tcBorders>
          </w:tcPr>
          <w:p w:rsidR="00B3075F" w:rsidRPr="00F86CE2" w:rsidRDefault="00B3075F" w:rsidP="003F48BC">
            <w:pPr>
              <w:pStyle w:val="Wramce"/>
              <w:spacing w:before="100" w:after="60"/>
              <w:jc w:val="center"/>
            </w:pPr>
            <w:r>
              <w:t>grupa kontrolna</w:t>
            </w:r>
          </w:p>
        </w:tc>
      </w:tr>
      <w:tr w:rsidR="00B3075F" w:rsidRPr="00F86CE2" w:rsidTr="003F48BC">
        <w:tc>
          <w:tcPr>
            <w:tcW w:w="1256" w:type="pct"/>
            <w:tcBorders>
              <w:right w:val="nil"/>
            </w:tcBorders>
          </w:tcPr>
          <w:p w:rsidR="00B3075F" w:rsidRPr="00F86CE2" w:rsidRDefault="00B3075F" w:rsidP="003F48BC">
            <w:pPr>
              <w:pStyle w:val="Wramce"/>
              <w:spacing w:before="100" w:after="60"/>
              <w:jc w:val="center"/>
            </w:pPr>
            <w:r w:rsidRPr="00F86CE2">
              <w:t>1</w:t>
            </w:r>
          </w:p>
        </w:tc>
        <w:tc>
          <w:tcPr>
            <w:tcW w:w="1247" w:type="pct"/>
            <w:tcBorders>
              <w:left w:val="nil"/>
              <w:right w:val="nil"/>
            </w:tcBorders>
          </w:tcPr>
          <w:p w:rsidR="00B3075F" w:rsidRPr="00F86CE2" w:rsidRDefault="00B3075F" w:rsidP="003F48BC">
            <w:pPr>
              <w:pStyle w:val="Wramce"/>
              <w:spacing w:before="100" w:after="60"/>
              <w:jc w:val="center"/>
            </w:pPr>
            <w:r w:rsidRPr="00F86CE2">
              <w:t>0</w:t>
            </w:r>
          </w:p>
        </w:tc>
        <w:tc>
          <w:tcPr>
            <w:tcW w:w="1247" w:type="pct"/>
            <w:tcBorders>
              <w:left w:val="nil"/>
              <w:right w:val="nil"/>
            </w:tcBorders>
          </w:tcPr>
          <w:p w:rsidR="00B3075F" w:rsidRPr="00F86CE2" w:rsidRDefault="00B3075F" w:rsidP="003F48BC">
            <w:pPr>
              <w:pStyle w:val="Wramce"/>
              <w:spacing w:before="100" w:after="60"/>
              <w:jc w:val="center"/>
            </w:pPr>
            <w:r w:rsidRPr="00F86CE2">
              <w:t>0</w:t>
            </w:r>
          </w:p>
        </w:tc>
        <w:tc>
          <w:tcPr>
            <w:tcW w:w="1250" w:type="pct"/>
            <w:tcBorders>
              <w:left w:val="nil"/>
            </w:tcBorders>
          </w:tcPr>
          <w:p w:rsidR="00B3075F" w:rsidRPr="00F86CE2" w:rsidRDefault="00B3075F" w:rsidP="003F48BC">
            <w:pPr>
              <w:pStyle w:val="Wramce"/>
              <w:spacing w:before="100" w:after="60"/>
              <w:jc w:val="center"/>
            </w:pPr>
            <w:r w:rsidRPr="00F86CE2">
              <w:t>0</w:t>
            </w:r>
          </w:p>
        </w:tc>
      </w:tr>
      <w:tr w:rsidR="00B3075F" w:rsidRPr="00F86CE2" w:rsidTr="003F48BC">
        <w:tc>
          <w:tcPr>
            <w:tcW w:w="1256" w:type="pct"/>
            <w:tcBorders>
              <w:right w:val="nil"/>
            </w:tcBorders>
          </w:tcPr>
          <w:p w:rsidR="00B3075F" w:rsidRPr="00F86CE2" w:rsidRDefault="00B3075F" w:rsidP="003F48BC">
            <w:pPr>
              <w:pStyle w:val="Wramce"/>
              <w:spacing w:before="100" w:after="60"/>
              <w:jc w:val="center"/>
            </w:pPr>
            <w:r w:rsidRPr="00F86CE2">
              <w:t>2</w:t>
            </w:r>
          </w:p>
        </w:tc>
        <w:tc>
          <w:tcPr>
            <w:tcW w:w="1247" w:type="pct"/>
            <w:tcBorders>
              <w:left w:val="nil"/>
              <w:right w:val="nil"/>
            </w:tcBorders>
          </w:tcPr>
          <w:p w:rsidR="00B3075F" w:rsidRPr="00F86CE2" w:rsidRDefault="00B3075F" w:rsidP="003F48BC">
            <w:pPr>
              <w:pStyle w:val="Wramce"/>
              <w:spacing w:before="100" w:after="60"/>
              <w:jc w:val="center"/>
            </w:pPr>
            <w:r w:rsidRPr="00F86CE2">
              <w:t>4</w:t>
            </w:r>
          </w:p>
        </w:tc>
        <w:tc>
          <w:tcPr>
            <w:tcW w:w="1247" w:type="pct"/>
            <w:tcBorders>
              <w:left w:val="nil"/>
              <w:right w:val="nil"/>
            </w:tcBorders>
          </w:tcPr>
          <w:p w:rsidR="00B3075F" w:rsidRPr="00F86CE2" w:rsidRDefault="00B3075F" w:rsidP="003F48BC">
            <w:pPr>
              <w:pStyle w:val="Wramce"/>
              <w:spacing w:before="100" w:after="60"/>
              <w:jc w:val="center"/>
            </w:pPr>
            <w:r w:rsidRPr="00F86CE2">
              <w:t>3</w:t>
            </w:r>
          </w:p>
        </w:tc>
        <w:tc>
          <w:tcPr>
            <w:tcW w:w="1250" w:type="pct"/>
            <w:tcBorders>
              <w:left w:val="nil"/>
            </w:tcBorders>
          </w:tcPr>
          <w:p w:rsidR="00B3075F" w:rsidRPr="00F86CE2" w:rsidRDefault="00B3075F" w:rsidP="003F48BC">
            <w:pPr>
              <w:pStyle w:val="Wramce"/>
              <w:spacing w:before="100" w:after="60"/>
              <w:jc w:val="center"/>
            </w:pPr>
            <w:r w:rsidRPr="00F86CE2">
              <w:t>11</w:t>
            </w:r>
          </w:p>
        </w:tc>
      </w:tr>
      <w:tr w:rsidR="00B3075F" w:rsidRPr="00F86CE2" w:rsidTr="003F48BC">
        <w:tc>
          <w:tcPr>
            <w:tcW w:w="1256" w:type="pct"/>
            <w:tcBorders>
              <w:right w:val="nil"/>
            </w:tcBorders>
          </w:tcPr>
          <w:p w:rsidR="00B3075F" w:rsidRPr="00F86CE2" w:rsidRDefault="00B3075F" w:rsidP="003F48BC">
            <w:pPr>
              <w:pStyle w:val="Wramce"/>
              <w:spacing w:before="100" w:after="60"/>
              <w:jc w:val="center"/>
            </w:pPr>
            <w:r w:rsidRPr="00F86CE2">
              <w:t>3</w:t>
            </w:r>
          </w:p>
        </w:tc>
        <w:tc>
          <w:tcPr>
            <w:tcW w:w="1247" w:type="pct"/>
            <w:tcBorders>
              <w:left w:val="nil"/>
              <w:right w:val="nil"/>
            </w:tcBorders>
          </w:tcPr>
          <w:p w:rsidR="00B3075F" w:rsidRPr="00F86CE2" w:rsidRDefault="00B3075F" w:rsidP="003F48BC">
            <w:pPr>
              <w:pStyle w:val="Wramce"/>
              <w:spacing w:before="100" w:after="60"/>
              <w:jc w:val="center"/>
            </w:pPr>
            <w:r w:rsidRPr="00F86CE2">
              <w:t>10</w:t>
            </w:r>
          </w:p>
        </w:tc>
        <w:tc>
          <w:tcPr>
            <w:tcW w:w="1247" w:type="pct"/>
            <w:tcBorders>
              <w:left w:val="nil"/>
              <w:right w:val="nil"/>
            </w:tcBorders>
          </w:tcPr>
          <w:p w:rsidR="00B3075F" w:rsidRPr="00F86CE2" w:rsidRDefault="00B3075F" w:rsidP="003F48BC">
            <w:pPr>
              <w:pStyle w:val="Wramce"/>
              <w:spacing w:before="100" w:after="60"/>
              <w:jc w:val="center"/>
            </w:pPr>
            <w:r w:rsidRPr="00F86CE2">
              <w:t>8</w:t>
            </w:r>
          </w:p>
        </w:tc>
        <w:tc>
          <w:tcPr>
            <w:tcW w:w="1250" w:type="pct"/>
            <w:tcBorders>
              <w:left w:val="nil"/>
            </w:tcBorders>
          </w:tcPr>
          <w:p w:rsidR="00B3075F" w:rsidRPr="00F86CE2" w:rsidRDefault="00B3075F" w:rsidP="003F48BC">
            <w:pPr>
              <w:pStyle w:val="Wramce"/>
              <w:spacing w:before="100" w:after="60"/>
              <w:jc w:val="center"/>
            </w:pPr>
            <w:r w:rsidRPr="00F86CE2">
              <w:t>17</w:t>
            </w:r>
          </w:p>
        </w:tc>
      </w:tr>
      <w:tr w:rsidR="00B3075F" w:rsidRPr="00F86CE2" w:rsidTr="003F48BC">
        <w:tc>
          <w:tcPr>
            <w:tcW w:w="1256" w:type="pct"/>
            <w:tcBorders>
              <w:right w:val="nil"/>
            </w:tcBorders>
          </w:tcPr>
          <w:p w:rsidR="00B3075F" w:rsidRPr="00F86CE2" w:rsidRDefault="00B3075F" w:rsidP="003F48BC">
            <w:pPr>
              <w:pStyle w:val="Wramce"/>
              <w:spacing w:before="100" w:after="60"/>
              <w:jc w:val="center"/>
            </w:pPr>
            <w:r w:rsidRPr="00F86CE2">
              <w:t>4</w:t>
            </w:r>
          </w:p>
        </w:tc>
        <w:tc>
          <w:tcPr>
            <w:tcW w:w="1247" w:type="pct"/>
            <w:tcBorders>
              <w:left w:val="nil"/>
              <w:right w:val="nil"/>
            </w:tcBorders>
          </w:tcPr>
          <w:p w:rsidR="00B3075F" w:rsidRPr="00F86CE2" w:rsidRDefault="00B3075F" w:rsidP="003F48BC">
            <w:pPr>
              <w:pStyle w:val="Wramce"/>
              <w:spacing w:before="100" w:after="60"/>
              <w:jc w:val="center"/>
            </w:pPr>
            <w:r w:rsidRPr="00F86CE2">
              <w:t>1</w:t>
            </w:r>
          </w:p>
        </w:tc>
        <w:tc>
          <w:tcPr>
            <w:tcW w:w="1247" w:type="pct"/>
            <w:tcBorders>
              <w:left w:val="nil"/>
              <w:right w:val="nil"/>
            </w:tcBorders>
          </w:tcPr>
          <w:p w:rsidR="00B3075F" w:rsidRPr="00F86CE2" w:rsidRDefault="00B3075F" w:rsidP="003F48BC">
            <w:pPr>
              <w:pStyle w:val="Wramce"/>
              <w:spacing w:before="100" w:after="60"/>
              <w:jc w:val="center"/>
            </w:pPr>
            <w:r w:rsidRPr="00F86CE2">
              <w:t>5</w:t>
            </w:r>
          </w:p>
        </w:tc>
        <w:tc>
          <w:tcPr>
            <w:tcW w:w="1250" w:type="pct"/>
            <w:tcBorders>
              <w:left w:val="nil"/>
            </w:tcBorders>
          </w:tcPr>
          <w:p w:rsidR="00B3075F" w:rsidRPr="00F86CE2" w:rsidRDefault="00B3075F" w:rsidP="003F48BC">
            <w:pPr>
              <w:pStyle w:val="Wramce"/>
              <w:spacing w:before="100" w:after="60"/>
              <w:jc w:val="center"/>
            </w:pPr>
            <w:r w:rsidRPr="00F86CE2">
              <w:t>5</w:t>
            </w:r>
          </w:p>
        </w:tc>
      </w:tr>
      <w:tr w:rsidR="00B3075F" w:rsidRPr="00F86CE2" w:rsidTr="003F48BC">
        <w:tc>
          <w:tcPr>
            <w:tcW w:w="1256" w:type="pct"/>
            <w:tcBorders>
              <w:right w:val="nil"/>
            </w:tcBorders>
          </w:tcPr>
          <w:p w:rsidR="00B3075F" w:rsidRPr="00F86CE2" w:rsidRDefault="00B3075F" w:rsidP="003F48BC">
            <w:pPr>
              <w:pStyle w:val="Wramce"/>
              <w:spacing w:before="100" w:after="60"/>
              <w:jc w:val="center"/>
            </w:pPr>
            <w:r w:rsidRPr="00F86CE2">
              <w:t>5</w:t>
            </w:r>
          </w:p>
        </w:tc>
        <w:tc>
          <w:tcPr>
            <w:tcW w:w="1247" w:type="pct"/>
            <w:tcBorders>
              <w:left w:val="nil"/>
              <w:right w:val="nil"/>
            </w:tcBorders>
          </w:tcPr>
          <w:p w:rsidR="00B3075F" w:rsidRPr="00F86CE2" w:rsidRDefault="00B3075F" w:rsidP="003F48BC">
            <w:pPr>
              <w:pStyle w:val="Wramce"/>
              <w:spacing w:before="100" w:after="60"/>
              <w:jc w:val="center"/>
            </w:pPr>
            <w:r w:rsidRPr="00F86CE2">
              <w:t>0</w:t>
            </w:r>
          </w:p>
        </w:tc>
        <w:tc>
          <w:tcPr>
            <w:tcW w:w="1247" w:type="pct"/>
            <w:tcBorders>
              <w:left w:val="nil"/>
              <w:right w:val="nil"/>
            </w:tcBorders>
          </w:tcPr>
          <w:p w:rsidR="00B3075F" w:rsidRPr="00F86CE2" w:rsidRDefault="00B3075F" w:rsidP="003F48BC">
            <w:pPr>
              <w:pStyle w:val="Wramce"/>
              <w:spacing w:before="100" w:after="60"/>
              <w:jc w:val="center"/>
            </w:pPr>
            <w:r w:rsidRPr="00F86CE2">
              <w:t>3</w:t>
            </w:r>
          </w:p>
        </w:tc>
        <w:tc>
          <w:tcPr>
            <w:tcW w:w="1250" w:type="pct"/>
            <w:tcBorders>
              <w:left w:val="nil"/>
            </w:tcBorders>
          </w:tcPr>
          <w:p w:rsidR="00B3075F" w:rsidRPr="00F86CE2" w:rsidRDefault="00B3075F" w:rsidP="003F48BC">
            <w:pPr>
              <w:pStyle w:val="Wramce"/>
              <w:spacing w:before="100" w:after="60"/>
              <w:jc w:val="center"/>
            </w:pPr>
            <w:r w:rsidRPr="00F86CE2">
              <w:t>0</w:t>
            </w:r>
          </w:p>
        </w:tc>
      </w:tr>
      <w:tr w:rsidR="00B3075F" w:rsidRPr="00F86CE2" w:rsidTr="003F48BC">
        <w:tc>
          <w:tcPr>
            <w:tcW w:w="1256" w:type="pct"/>
            <w:tcBorders>
              <w:right w:val="nil"/>
            </w:tcBorders>
          </w:tcPr>
          <w:p w:rsidR="00B3075F" w:rsidRPr="00F86CE2" w:rsidRDefault="00B3075F" w:rsidP="003F48BC">
            <w:pPr>
              <w:pStyle w:val="Wramce"/>
              <w:spacing w:before="100" w:after="60"/>
              <w:jc w:val="center"/>
            </w:pPr>
            <w:r w:rsidRPr="00F86CE2">
              <w:t>6</w:t>
            </w:r>
          </w:p>
        </w:tc>
        <w:tc>
          <w:tcPr>
            <w:tcW w:w="1247" w:type="pct"/>
            <w:tcBorders>
              <w:left w:val="nil"/>
              <w:right w:val="nil"/>
            </w:tcBorders>
          </w:tcPr>
          <w:p w:rsidR="00B3075F" w:rsidRPr="00F86CE2" w:rsidRDefault="00B3075F" w:rsidP="003F48BC">
            <w:pPr>
              <w:pStyle w:val="Wramce"/>
              <w:spacing w:before="100" w:after="60"/>
              <w:jc w:val="center"/>
            </w:pPr>
            <w:r w:rsidRPr="00F86CE2">
              <w:t>0</w:t>
            </w:r>
          </w:p>
        </w:tc>
        <w:tc>
          <w:tcPr>
            <w:tcW w:w="1247" w:type="pct"/>
            <w:tcBorders>
              <w:left w:val="nil"/>
              <w:right w:val="nil"/>
            </w:tcBorders>
          </w:tcPr>
          <w:p w:rsidR="00B3075F" w:rsidRPr="00F86CE2" w:rsidRDefault="00B3075F" w:rsidP="003F48BC">
            <w:pPr>
              <w:pStyle w:val="Wramce"/>
              <w:spacing w:before="100" w:after="60"/>
              <w:jc w:val="center"/>
            </w:pPr>
            <w:r w:rsidRPr="00F86CE2">
              <w:t>0</w:t>
            </w:r>
          </w:p>
        </w:tc>
        <w:tc>
          <w:tcPr>
            <w:tcW w:w="1250" w:type="pct"/>
            <w:tcBorders>
              <w:left w:val="nil"/>
            </w:tcBorders>
          </w:tcPr>
          <w:p w:rsidR="00B3075F" w:rsidRPr="00F86CE2" w:rsidRDefault="00B3075F" w:rsidP="003F48BC">
            <w:pPr>
              <w:pStyle w:val="Wramce"/>
              <w:spacing w:before="100" w:after="60"/>
              <w:jc w:val="center"/>
            </w:pPr>
            <w:r w:rsidRPr="00F86CE2">
              <w:t>0</w:t>
            </w:r>
          </w:p>
        </w:tc>
      </w:tr>
    </w:tbl>
    <w:p w:rsidR="00B3075F" w:rsidRDefault="00B3075F" w:rsidP="00B3075F"/>
    <w:p w:rsidR="00B3075F" w:rsidRPr="00F86CE2" w:rsidRDefault="00B3075F" w:rsidP="00B3075F">
      <w:r w:rsidRPr="00F86CE2">
        <w:t>Dobrano dwie grupy kontrolne (wybrane losowo z 33 osób grupy trzeciej) o</w:t>
      </w:r>
      <w:r>
        <w:t> </w:t>
      </w:r>
      <w:r w:rsidRPr="00F86CE2">
        <w:t xml:space="preserve">identycznym rozkładzie ocen: </w:t>
      </w:r>
    </w:p>
    <w:p w:rsidR="00B3075F" w:rsidRPr="00F86CE2" w:rsidRDefault="00B3075F" w:rsidP="00B3075F">
      <w:pPr>
        <w:pStyle w:val="StylPunktowane"/>
        <w:tabs>
          <w:tab w:val="clear" w:pos="-351"/>
          <w:tab w:val="num" w:pos="720"/>
        </w:tabs>
      </w:pPr>
      <w:r w:rsidRPr="00F86CE2">
        <w:t xml:space="preserve">dla grupy eksperymentalnej ze </w:t>
      </w:r>
      <w:r>
        <w:t>treningiem</w:t>
      </w:r>
      <w:r w:rsidRPr="00F86CE2">
        <w:t xml:space="preserve"> 15-osobową </w:t>
      </w:r>
      <w:r>
        <w:t>– żeby przetestować hipotezę H2;</w:t>
      </w:r>
    </w:p>
    <w:p w:rsidR="00B3075F" w:rsidRPr="00F86CE2" w:rsidRDefault="00B3075F" w:rsidP="00B3075F">
      <w:pPr>
        <w:pStyle w:val="StylPunktowane"/>
        <w:tabs>
          <w:tab w:val="clear" w:pos="-351"/>
          <w:tab w:val="num" w:pos="720"/>
        </w:tabs>
      </w:pPr>
      <w:r w:rsidRPr="00F86CE2">
        <w:t xml:space="preserve">dla grupy eksperymentalnej z </w:t>
      </w:r>
      <w:r>
        <w:t>aktywizacją</w:t>
      </w:r>
      <w:r w:rsidRPr="00F86CE2">
        <w:t xml:space="preserve"> 16-osobową (osoby, które otrzymały </w:t>
      </w:r>
      <w:r>
        <w:br/>
      </w:r>
      <w:r w:rsidRPr="00F86CE2">
        <w:t>z</w:t>
      </w:r>
      <w:r>
        <w:t> </w:t>
      </w:r>
      <w:proofErr w:type="spellStart"/>
      <w:r w:rsidRPr="00F86CE2">
        <w:t>pre</w:t>
      </w:r>
      <w:proofErr w:type="spellEnd"/>
      <w:r w:rsidRPr="00F86CE2">
        <w:t>-testu ocenę 5.0 nie zost</w:t>
      </w:r>
      <w:r>
        <w:t>ały wzięte pod uwagę w badaniu) – żeby przetestować hipotezę H3;</w:t>
      </w:r>
    </w:p>
    <w:p w:rsidR="00B3075F" w:rsidRPr="00F86CE2" w:rsidRDefault="00B3075F" w:rsidP="00B3075F">
      <w:r w:rsidRPr="00F86CE2">
        <w:t>Rozkład stanu początkowego umiejętności rozwiązywania zadań w grupie kontrolnej odpowiadał rozkładowi umiejętn</w:t>
      </w:r>
      <w:r>
        <w:t>ości w grupie eksperymentalnej.</w:t>
      </w:r>
    </w:p>
    <w:p w:rsidR="00B3075F" w:rsidRDefault="00B3075F" w:rsidP="00B3075F">
      <w:r w:rsidRPr="00F86CE2">
        <w:t xml:space="preserve">Uczniowie w grupie kontrolnej odbywali lekcje tradycyjnymi metodami nauczania prowadzonych przez dwóch nauczycieli fizyki. Uczniowie w grupie eksperymentalnej poddani zostali szkoleniu z zakresu </w:t>
      </w:r>
      <w:proofErr w:type="spellStart"/>
      <w:r w:rsidRPr="00F86CE2">
        <w:t>metapoznania</w:t>
      </w:r>
      <w:proofErr w:type="spellEnd"/>
      <w:r w:rsidRPr="00F86CE2">
        <w:t xml:space="preserve"> przez okres 6 miesięcy dwa razy w tygodniu.</w:t>
      </w:r>
      <w:r>
        <w:t xml:space="preserve"> </w:t>
      </w:r>
    </w:p>
    <w:p w:rsidR="00B3075F" w:rsidRPr="00F86CE2" w:rsidRDefault="00B3075F" w:rsidP="00B3075F">
      <w:r>
        <w:t xml:space="preserve">Ponieważ druga hipoteza badawcza (H2) dotycząca wpływ między przejściem treningu a osiągniętymi wynikami wymagała wypełnienia ankiety, należałoby się zastanowić, czy to ona nie ma istotnego wpływu na osiągnięte wyniki przez grupę „z treningiem”. Można jednak ocenić wpływ ankiety, porównując grupę „z treningiem” i „z aktywizacją”. W tym celu wybrano 12 osób z każdej z obu grup, wykazujących się identycznymi wynikami </w:t>
      </w:r>
      <w:proofErr w:type="spellStart"/>
      <w:r>
        <w:t>pre</w:t>
      </w:r>
      <w:proofErr w:type="spellEnd"/>
      <w:r>
        <w:t xml:space="preserve">-testu. </w:t>
      </w:r>
    </w:p>
    <w:p w:rsidR="00B3075F" w:rsidRPr="00F86CE2" w:rsidRDefault="00B3075F" w:rsidP="00B3075F">
      <w:pPr>
        <w:pStyle w:val="Heading2"/>
      </w:pPr>
      <w:bookmarkStart w:id="15" w:name="_Toc289023809"/>
      <w:bookmarkStart w:id="16" w:name="_Toc292293570"/>
      <w:bookmarkStart w:id="17" w:name="_Toc302846901"/>
      <w:r w:rsidRPr="00F86CE2">
        <w:t>Przebieg bada</w:t>
      </w:r>
      <w:r>
        <w:t>ń</w:t>
      </w:r>
      <w:bookmarkEnd w:id="15"/>
      <w:bookmarkEnd w:id="16"/>
      <w:bookmarkEnd w:id="17"/>
    </w:p>
    <w:p w:rsidR="00B3075F" w:rsidRPr="00F86CE2" w:rsidRDefault="00B3075F" w:rsidP="00B3075F">
      <w:r w:rsidRPr="00F86CE2">
        <w:t>Uczniowie byli poinformowani o sprawdzianie (badaniu) z tygodniowym wyprzedzeniem. Podano dokładnie zakres wymaganego materiału. Sprawdzian został przeprowadzony przez trzech nauczycieli uczących w poszczególnych klasach. Do rozwiązania zadań wyznaczono czas 30 minut</w:t>
      </w:r>
      <w:r>
        <w:t>. Uczniowie samodzielnie rozwiązywali dwa, wcześniej przygotowane zadania otwarte</w:t>
      </w:r>
      <w:r w:rsidRPr="00F86CE2">
        <w:t xml:space="preserve">. </w:t>
      </w:r>
      <w:r>
        <w:t xml:space="preserve">W grupach eksperymentalnych „z aktywizacją” i „z treningiem” krótko </w:t>
      </w:r>
      <w:r w:rsidRPr="00F86CE2">
        <w:t xml:space="preserve">poinstruowano w jaki sposób wypełnić kwestionariusz. W grupie kontrolnej bez kwestionariusza takiej instrukcji nie było, gdyż uczniowie rozwiązywali tylko przygotowane zadania. Nauczyciele otrzymali instrukcję o całkowitym zakazie porozumiewania się z uczniami w trakcie rozwiązywania zadań. </w:t>
      </w:r>
      <w:r>
        <w:t>Po zakończeniu sprawdzianu, nauczyciele ocenili rozwiązania zadania wg ustalonego wcześniej klucza.</w:t>
      </w:r>
    </w:p>
    <w:p w:rsidR="00B3075F" w:rsidRPr="00351F59" w:rsidRDefault="00B3075F" w:rsidP="00B3075F">
      <w:pPr>
        <w:pStyle w:val="Heading1"/>
      </w:pPr>
      <w:r w:rsidRPr="00351F59">
        <w:br w:type="page"/>
      </w:r>
      <w:bookmarkStart w:id="18" w:name="_Toc302846902"/>
      <w:bookmarkStart w:id="19" w:name="_Toc289023810"/>
      <w:r w:rsidRPr="00351F59">
        <w:t xml:space="preserve">Kompetencje </w:t>
      </w:r>
      <w:proofErr w:type="spellStart"/>
      <w:r w:rsidRPr="00351F59">
        <w:t>metapoznawcze</w:t>
      </w:r>
      <w:proofErr w:type="spellEnd"/>
      <w:r w:rsidRPr="00351F59">
        <w:t xml:space="preserve"> a poziom wykonania zadań przez uczniów – rezultaty badań własnych</w:t>
      </w:r>
      <w:bookmarkEnd w:id="18"/>
    </w:p>
    <w:p w:rsidR="00B3075F" w:rsidRDefault="00B3075F" w:rsidP="00B3075F">
      <w:r w:rsidRPr="00F86CE2">
        <w:t xml:space="preserve">Przytoczona wcześniej koncepcja </w:t>
      </w:r>
      <w:proofErr w:type="spellStart"/>
      <w:r w:rsidRPr="00F86CE2">
        <w:t>metapoznania</w:t>
      </w:r>
      <w:proofErr w:type="spellEnd"/>
      <w:r w:rsidRPr="00F86CE2">
        <w:t xml:space="preserve"> oraz przykłady badań wskazują na to, że znaczący jest wpływ kompetencji </w:t>
      </w:r>
      <w:proofErr w:type="spellStart"/>
      <w:r w:rsidRPr="00F86CE2">
        <w:t>metapoznawczych</w:t>
      </w:r>
      <w:proofErr w:type="spellEnd"/>
      <w:r w:rsidRPr="00F86CE2">
        <w:t xml:space="preserve"> na osiągane sukcesy w</w:t>
      </w:r>
      <w:r>
        <w:t> </w:t>
      </w:r>
      <w:r w:rsidRPr="00F86CE2">
        <w:t>rozwiązywaniu zadań problemowych</w:t>
      </w:r>
      <w:r>
        <w:t xml:space="preserve"> (Swanson, 1990). W tym zakresie postawiono dwa problemy badawcze, na które odpowiedzi poszukiwano w badaniach empirycznych. W pierwszej kolejności zostaną przedstawione rezultaty badań w zakresie zależności między kompetencjami </w:t>
      </w:r>
      <w:proofErr w:type="spellStart"/>
      <w:r>
        <w:t>metapoznawczymi</w:t>
      </w:r>
      <w:proofErr w:type="spellEnd"/>
      <w:r>
        <w:t xml:space="preserve"> a poziomem wykonywania zadań, a następnie analiza w zakresie określenia wpływu treningu </w:t>
      </w:r>
      <w:proofErr w:type="spellStart"/>
      <w:r>
        <w:t>metapoznania</w:t>
      </w:r>
      <w:proofErr w:type="spellEnd"/>
      <w:r>
        <w:t xml:space="preserve"> na poziom wykonywania zadań przez uczniów oraz wpływu aktywizacji </w:t>
      </w:r>
      <w:proofErr w:type="spellStart"/>
      <w:r>
        <w:t>metapoznawczej</w:t>
      </w:r>
      <w:proofErr w:type="spellEnd"/>
      <w:r>
        <w:t xml:space="preserve"> na osiągany sukces.</w:t>
      </w:r>
    </w:p>
    <w:p w:rsidR="00B3075F" w:rsidRPr="00432D34" w:rsidRDefault="00B3075F" w:rsidP="00B3075F">
      <w:r w:rsidRPr="00432D34">
        <w:t xml:space="preserve">W przedstawionych poniżej badaniach wyróżniono pięć wskaźników kompetencji </w:t>
      </w:r>
      <w:proofErr w:type="spellStart"/>
      <w:r w:rsidRPr="00432D34">
        <w:t>metapoznawczch</w:t>
      </w:r>
      <w:proofErr w:type="spellEnd"/>
      <w:r w:rsidRPr="00432D34">
        <w:t xml:space="preserve">, a mianowicie: </w:t>
      </w:r>
    </w:p>
    <w:p w:rsidR="00B3075F" w:rsidRPr="00432D34" w:rsidRDefault="00B3075F" w:rsidP="00B3075F">
      <w:pPr>
        <w:pStyle w:val="StylPunktowane"/>
      </w:pPr>
      <w:r w:rsidRPr="00395462">
        <w:rPr>
          <w:i/>
        </w:rPr>
        <w:t>zaangażowanie</w:t>
      </w:r>
      <w:r w:rsidRPr="00432D34">
        <w:t xml:space="preserve"> – wstępna konfrontacja, zrozumienie problemu,</w:t>
      </w:r>
    </w:p>
    <w:p w:rsidR="00B3075F" w:rsidRDefault="00B3075F" w:rsidP="00B3075F">
      <w:pPr>
        <w:pStyle w:val="StylPunktowane"/>
      </w:pPr>
      <w:r w:rsidRPr="00395462">
        <w:rPr>
          <w:i/>
        </w:rPr>
        <w:t>planowanie</w:t>
      </w:r>
      <w:r w:rsidRPr="00432D34">
        <w:t xml:space="preserve"> – ważnych w</w:t>
      </w:r>
      <w:r w:rsidRPr="00B84354">
        <w:t xml:space="preserve"> zadaniu informacji, powiązanie treści zadania z własnym doświadczeniem, planowanie kolejności rozwiązania</w:t>
      </w:r>
      <w:r>
        <w:t>,</w:t>
      </w:r>
    </w:p>
    <w:p w:rsidR="00B3075F" w:rsidRDefault="00B3075F" w:rsidP="00B3075F">
      <w:pPr>
        <w:pStyle w:val="StylPunktowane"/>
      </w:pPr>
      <w:r w:rsidRPr="00395462">
        <w:rPr>
          <w:i/>
        </w:rPr>
        <w:t>monitorowanie</w:t>
      </w:r>
      <w:r>
        <w:t xml:space="preserve"> – wykorzystywanie różnych strategii ułatwiających rozwiązanie monitorowanie ich skuteczności</w:t>
      </w:r>
      <w:r w:rsidRPr="00F86CE2">
        <w:t xml:space="preserve">, </w:t>
      </w:r>
    </w:p>
    <w:p w:rsidR="00B3075F" w:rsidRDefault="00B3075F" w:rsidP="00B3075F">
      <w:pPr>
        <w:pStyle w:val="StylPunktowane"/>
      </w:pPr>
      <w:r w:rsidRPr="00395462">
        <w:rPr>
          <w:i/>
        </w:rPr>
        <w:t>kalibracja</w:t>
      </w:r>
      <w:r w:rsidRPr="00395462">
        <w:t xml:space="preserve"> </w:t>
      </w:r>
      <w:r>
        <w:t>– wstępna ocena trudności zadania oraz przewidywanie własnej skuteczności w rozwiązywaniu problemu,</w:t>
      </w:r>
    </w:p>
    <w:p w:rsidR="00B3075F" w:rsidRDefault="00B3075F" w:rsidP="00B3075F">
      <w:pPr>
        <w:pStyle w:val="StylPunktowane"/>
      </w:pPr>
      <w:r w:rsidRPr="00395462">
        <w:rPr>
          <w:i/>
        </w:rPr>
        <w:t>ocena</w:t>
      </w:r>
      <w:r>
        <w:t xml:space="preserve"> – własnej skuteczności po skończeniu rozwiązywania zadań.</w:t>
      </w:r>
    </w:p>
    <w:p w:rsidR="00B3075F" w:rsidRPr="00F86CE2" w:rsidRDefault="00B3075F" w:rsidP="00B3075F">
      <w:r>
        <w:t>Każdy wskaźnik składał się z kilku (3-5) stwierdzeń badanych w kwestionariuszu. Wyjątkiem była „kalibracja”, która dotyczyła tylko jednego stwierdzenia. Szczegółowy opis utworzonych wymiarów znajduje się w Dodatku.</w:t>
      </w:r>
    </w:p>
    <w:p w:rsidR="00B3075F" w:rsidRPr="005228A7" w:rsidRDefault="00B3075F" w:rsidP="00B3075F">
      <w:pPr>
        <w:pStyle w:val="Heading2"/>
      </w:pPr>
      <w:bookmarkStart w:id="20" w:name="_Toc302846903"/>
      <w:r w:rsidRPr="005228A7">
        <w:t xml:space="preserve">Porównanie kompetencji </w:t>
      </w:r>
      <w:proofErr w:type="spellStart"/>
      <w:r w:rsidRPr="005228A7">
        <w:t>metapoznawczych</w:t>
      </w:r>
      <w:proofErr w:type="spellEnd"/>
      <w:r w:rsidRPr="005228A7">
        <w:t xml:space="preserve"> badanych grup</w:t>
      </w:r>
      <w:bookmarkEnd w:id="20"/>
    </w:p>
    <w:p w:rsidR="00B3075F" w:rsidRPr="005228A7" w:rsidRDefault="00B3075F" w:rsidP="00B3075F">
      <w:r w:rsidRPr="005228A7">
        <w:t xml:space="preserve">Porównując grupę eksperymentalną uczniów, którzy przeszli trening </w:t>
      </w:r>
      <w:proofErr w:type="spellStart"/>
      <w:r w:rsidRPr="005228A7">
        <w:t>metapoznawczy</w:t>
      </w:r>
      <w:proofErr w:type="spellEnd"/>
      <w:r w:rsidRPr="005228A7">
        <w:t xml:space="preserve"> (gr. 1)</w:t>
      </w:r>
      <w:r>
        <w:t xml:space="preserve"> </w:t>
      </w:r>
      <w:r w:rsidRPr="005228A7">
        <w:t>z grupą aktywizowan</w:t>
      </w:r>
      <w:r>
        <w:t>ą</w:t>
      </w:r>
      <w:r w:rsidRPr="005228A7">
        <w:t xml:space="preserve"> </w:t>
      </w:r>
      <w:proofErr w:type="spellStart"/>
      <w:r w:rsidRPr="005228A7">
        <w:t>metapoznawczo</w:t>
      </w:r>
      <w:proofErr w:type="spellEnd"/>
      <w:r w:rsidRPr="005228A7">
        <w:t xml:space="preserve"> za pomocą ankiety (gr. 2), pod katem badanych kompetencji </w:t>
      </w:r>
      <w:proofErr w:type="spellStart"/>
      <w:r w:rsidRPr="005228A7">
        <w:t>metapoznawczych</w:t>
      </w:r>
      <w:proofErr w:type="spellEnd"/>
      <w:r w:rsidRPr="005228A7">
        <w:t xml:space="preserve"> uzyskano dosyć ciekawe wyniki</w:t>
      </w:r>
      <w:r>
        <w:t>, co przedstawia tabela 3</w:t>
      </w:r>
      <w:r w:rsidRPr="005228A7">
        <w:t>: Grupa z</w:t>
      </w:r>
      <w:r>
        <w:t> </w:t>
      </w:r>
      <w:r w:rsidRPr="005228A7">
        <w:t xml:space="preserve">treningiem miała istotnie statystycznie lepsze wyniki w zakresie planowania i oceny. Uczniowie z grupy, która przeszła trening, deklarowali częściej umiejętność organizacji informacji w zadaniu, umiejętność zaplanowania jego rozwiązanie oraz dokonania oceny swojego rozwiązania w porównaniu z grupą aktywizowaną </w:t>
      </w:r>
      <w:proofErr w:type="spellStart"/>
      <w:r w:rsidRPr="005228A7">
        <w:t>metapoznawczo</w:t>
      </w:r>
      <w:proofErr w:type="spellEnd"/>
      <w:r w:rsidRPr="005228A7">
        <w:t xml:space="preserve"> za pomocą ankiety. </w:t>
      </w:r>
    </w:p>
    <w:p w:rsidR="00B3075F" w:rsidRDefault="00B3075F" w:rsidP="00B3075F">
      <w:r>
        <w:t xml:space="preserve">Umiejętność zaangażowania i monitorowania była jednakowa w obu grupach (brak istotnie statystycznej różnicy). Jest to o tyle dziwne, że grupa z aktywizacją </w:t>
      </w:r>
      <w:proofErr w:type="spellStart"/>
      <w:r>
        <w:t>metapoznawczą</w:t>
      </w:r>
      <w:proofErr w:type="spellEnd"/>
      <w:r>
        <w:t xml:space="preserve"> nie rozwiązała żadnego zadania. Wynik ten można wytłumaczyć tym, że uczniowie, którzy nie przeszli treningu albo nie zrozumieli pytań ankiety albo odnosili te pytania do sytuacji zadaniowej typowej rozwiązywanej podczas lekcji fizyki i nie połączyli pytań ankietowy z zadaniem problemowym. Niepoprawne rozumienie ankiety mogło się wiązać z tym, że uczniowie potraktowali ją jako dodatkowe zadanie do wykonania w którym „można się pomylić”. Kłopotów tych nie miała grupa, która przeszła trening – dla uczniów tej grupy pytania były „przezroczyste”. Pozostaje jeszcze wytłumaczenie, że zaangażowanie i monitorowanie mogą być aktywowane w krótkim czasie (przez ankietę), choć zdaje się, że to mało prawdopodobne, biorąc pod uwagę uzyskane wyniki – gdyby tak było oznaczałoby to, że umiejętności </w:t>
      </w:r>
      <w:proofErr w:type="spellStart"/>
      <w:r>
        <w:t>metapoznawcze</w:t>
      </w:r>
      <w:proofErr w:type="spellEnd"/>
      <w:r>
        <w:t xml:space="preserve"> nie mają wpływu na fakt rozwiązania zadania. </w:t>
      </w:r>
    </w:p>
    <w:p w:rsidR="00B3075F" w:rsidRDefault="00B3075F" w:rsidP="00B3075F">
      <w:r>
        <w:t xml:space="preserve">Biorąc pod uwagę krytyczne podejście do narzędzi stosowanych w pomiarach umiejętności </w:t>
      </w:r>
      <w:proofErr w:type="spellStart"/>
      <w:r>
        <w:t>metapoznawczych</w:t>
      </w:r>
      <w:proofErr w:type="spellEnd"/>
      <w:r>
        <w:t>, o którym wspomniano w rozdziale 1.1, trzeba z dużą dozą ostrożności podchodzić do wyników osiągniętych w trakcie badania grupy „z aktywizacją”.</w:t>
      </w:r>
    </w:p>
    <w:p w:rsidR="00B3075F" w:rsidRDefault="00B3075F" w:rsidP="00B3075F">
      <w:r>
        <w:t>Omawiane umiejętności w obu grupach przedstawione są w tabeli 3.</w:t>
      </w:r>
    </w:p>
    <w:p w:rsidR="00B3075F" w:rsidRDefault="00B3075F" w:rsidP="00B3075F">
      <w:pPr>
        <w:pStyle w:val="PodpisTabeli"/>
      </w:pPr>
      <w:r>
        <w:t xml:space="preserve">Tabela 3. </w:t>
      </w:r>
    </w:p>
    <w:p w:rsidR="00B3075F" w:rsidRPr="00CC7B44" w:rsidRDefault="00B3075F" w:rsidP="00B3075F">
      <w:pPr>
        <w:pStyle w:val="PodpisTabeli"/>
        <w:rPr>
          <w:i/>
        </w:rPr>
      </w:pPr>
      <w:r w:rsidRPr="00CC7B44">
        <w:rPr>
          <w:i/>
        </w:rPr>
        <w:t xml:space="preserve">Różnice w poziomie kompetencji </w:t>
      </w:r>
      <w:proofErr w:type="spellStart"/>
      <w:r w:rsidRPr="00CC7B44">
        <w:rPr>
          <w:i/>
        </w:rPr>
        <w:t>metapoznawczych</w:t>
      </w:r>
      <w:proofErr w:type="spellEnd"/>
      <w:r w:rsidRPr="00CC7B44">
        <w:rPr>
          <w:i/>
        </w:rPr>
        <w:t xml:space="preserve"> miedzy grupą </w:t>
      </w:r>
      <w:r>
        <w:rPr>
          <w:i/>
        </w:rPr>
        <w:t>„</w:t>
      </w:r>
      <w:r w:rsidRPr="00CC7B44">
        <w:rPr>
          <w:i/>
        </w:rPr>
        <w:t>z treningiem</w:t>
      </w:r>
      <w:r>
        <w:rPr>
          <w:i/>
        </w:rPr>
        <w:t>”</w:t>
      </w:r>
      <w:r w:rsidRPr="00CC7B44">
        <w:rPr>
          <w:i/>
        </w:rPr>
        <w:t xml:space="preserve"> a grupą </w:t>
      </w:r>
      <w:r>
        <w:rPr>
          <w:i/>
        </w:rPr>
        <w:t>„</w:t>
      </w:r>
      <w:r w:rsidRPr="00CC7B44">
        <w:rPr>
          <w:i/>
        </w:rPr>
        <w:t>z</w:t>
      </w:r>
      <w:r>
        <w:rPr>
          <w:i/>
        </w:rPr>
        <w:t> </w:t>
      </w:r>
      <w:r w:rsidRPr="00CC7B44">
        <w:rPr>
          <w:i/>
        </w:rPr>
        <w:t>aktywizacją</w:t>
      </w:r>
      <w:r>
        <w:rPr>
          <w:i/>
        </w:rPr>
        <w:t>”</w:t>
      </w:r>
      <w:r w:rsidRPr="00CC7B44">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687"/>
        <w:gridCol w:w="1109"/>
        <w:gridCol w:w="1109"/>
        <w:gridCol w:w="8"/>
        <w:gridCol w:w="867"/>
        <w:gridCol w:w="9"/>
        <w:gridCol w:w="926"/>
        <w:gridCol w:w="8"/>
        <w:gridCol w:w="1488"/>
        <w:gridCol w:w="8"/>
      </w:tblGrid>
      <w:tr w:rsidR="00B3075F" w:rsidRPr="00B362CB" w:rsidTr="003F48BC">
        <w:trPr>
          <w:gridAfter w:val="1"/>
          <w:wAfter w:w="8" w:type="dxa"/>
        </w:trPr>
        <w:tc>
          <w:tcPr>
            <w:tcW w:w="1722" w:type="dxa"/>
            <w:tcBorders>
              <w:left w:val="nil"/>
              <w:bottom w:val="single" w:sz="4" w:space="0" w:color="auto"/>
              <w:right w:val="nil"/>
            </w:tcBorders>
          </w:tcPr>
          <w:p w:rsidR="00B3075F" w:rsidRPr="00B362CB" w:rsidRDefault="00B3075F" w:rsidP="003F48BC">
            <w:pPr>
              <w:pStyle w:val="Wramce"/>
              <w:spacing w:before="100" w:after="60"/>
              <w:jc w:val="center"/>
            </w:pPr>
          </w:p>
        </w:tc>
        <w:tc>
          <w:tcPr>
            <w:tcW w:w="1687" w:type="dxa"/>
            <w:tcBorders>
              <w:left w:val="nil"/>
              <w:right w:val="nil"/>
            </w:tcBorders>
          </w:tcPr>
          <w:p w:rsidR="00B3075F" w:rsidRPr="00B362CB" w:rsidRDefault="00B3075F" w:rsidP="003F48BC">
            <w:pPr>
              <w:pStyle w:val="Wramce"/>
              <w:spacing w:before="100" w:after="60"/>
              <w:jc w:val="center"/>
            </w:pPr>
            <w:r>
              <w:t>Grupa</w:t>
            </w:r>
          </w:p>
        </w:tc>
        <w:tc>
          <w:tcPr>
            <w:tcW w:w="1109" w:type="dxa"/>
            <w:tcBorders>
              <w:left w:val="nil"/>
              <w:right w:val="nil"/>
            </w:tcBorders>
          </w:tcPr>
          <w:p w:rsidR="00B3075F" w:rsidRPr="00B362CB" w:rsidRDefault="00B3075F" w:rsidP="003F48BC">
            <w:pPr>
              <w:pStyle w:val="Wramce"/>
              <w:spacing w:before="100" w:after="60"/>
              <w:jc w:val="center"/>
            </w:pPr>
            <w:r>
              <w:t>N</w:t>
            </w:r>
          </w:p>
        </w:tc>
        <w:tc>
          <w:tcPr>
            <w:tcW w:w="1109" w:type="dxa"/>
            <w:tcBorders>
              <w:left w:val="nil"/>
              <w:right w:val="nil"/>
            </w:tcBorders>
          </w:tcPr>
          <w:p w:rsidR="00B3075F" w:rsidRPr="00B362CB" w:rsidRDefault="00B3075F" w:rsidP="003F48BC">
            <w:pPr>
              <w:pStyle w:val="Wramce"/>
              <w:spacing w:before="100" w:after="60"/>
              <w:jc w:val="center"/>
            </w:pPr>
            <w:r w:rsidRPr="00B362CB">
              <w:t>Średnia</w:t>
            </w:r>
          </w:p>
        </w:tc>
        <w:tc>
          <w:tcPr>
            <w:tcW w:w="875" w:type="dxa"/>
            <w:gridSpan w:val="2"/>
            <w:tcBorders>
              <w:left w:val="nil"/>
              <w:right w:val="nil"/>
            </w:tcBorders>
          </w:tcPr>
          <w:p w:rsidR="00B3075F" w:rsidRPr="002451CB" w:rsidRDefault="00B3075F" w:rsidP="003F48BC">
            <w:pPr>
              <w:pStyle w:val="Wramce"/>
              <w:spacing w:before="100" w:after="60"/>
              <w:jc w:val="center"/>
              <w:rPr>
                <w:color w:val="000000"/>
              </w:rPr>
            </w:pPr>
            <w:r w:rsidRPr="002451CB">
              <w:rPr>
                <w:color w:val="000000"/>
              </w:rPr>
              <w:t>t</w:t>
            </w:r>
          </w:p>
        </w:tc>
        <w:tc>
          <w:tcPr>
            <w:tcW w:w="935" w:type="dxa"/>
            <w:gridSpan w:val="2"/>
            <w:tcBorders>
              <w:left w:val="nil"/>
              <w:right w:val="nil"/>
            </w:tcBorders>
          </w:tcPr>
          <w:p w:rsidR="00B3075F" w:rsidRPr="002451CB" w:rsidRDefault="00B3075F" w:rsidP="003F48BC">
            <w:pPr>
              <w:pStyle w:val="Wramce"/>
              <w:spacing w:before="100" w:after="60"/>
              <w:jc w:val="center"/>
              <w:rPr>
                <w:color w:val="000000"/>
              </w:rPr>
            </w:pPr>
            <w:proofErr w:type="spellStart"/>
            <w:r w:rsidRPr="002451CB">
              <w:rPr>
                <w:color w:val="000000"/>
              </w:rPr>
              <w:t>df</w:t>
            </w:r>
            <w:proofErr w:type="spellEnd"/>
          </w:p>
        </w:tc>
        <w:tc>
          <w:tcPr>
            <w:tcW w:w="1496" w:type="dxa"/>
            <w:gridSpan w:val="2"/>
            <w:tcBorders>
              <w:left w:val="nil"/>
              <w:right w:val="nil"/>
            </w:tcBorders>
          </w:tcPr>
          <w:p w:rsidR="00B3075F" w:rsidRPr="002451CB" w:rsidRDefault="00B3075F" w:rsidP="003F48BC">
            <w:pPr>
              <w:pStyle w:val="Wramce"/>
              <w:spacing w:before="100" w:after="60"/>
              <w:jc w:val="center"/>
              <w:rPr>
                <w:color w:val="000000"/>
              </w:rPr>
            </w:pPr>
            <w:r w:rsidRPr="002451CB">
              <w:rPr>
                <w:color w:val="000000"/>
              </w:rPr>
              <w:t>Istotność (dwustronna)</w:t>
            </w:r>
          </w:p>
        </w:tc>
      </w:tr>
      <w:tr w:rsidR="00B3075F" w:rsidRPr="00B362CB" w:rsidTr="003F48BC">
        <w:trPr>
          <w:trHeight w:val="299"/>
        </w:trPr>
        <w:tc>
          <w:tcPr>
            <w:tcW w:w="1722" w:type="dxa"/>
            <w:vMerge w:val="restart"/>
            <w:tcBorders>
              <w:left w:val="nil"/>
              <w:right w:val="nil"/>
            </w:tcBorders>
            <w:vAlign w:val="center"/>
          </w:tcPr>
          <w:p w:rsidR="00B3075F" w:rsidRPr="00B362CB" w:rsidRDefault="00B3075F" w:rsidP="003F48BC">
            <w:pPr>
              <w:pStyle w:val="Wramce"/>
              <w:spacing w:before="100" w:after="60"/>
              <w:jc w:val="left"/>
            </w:pPr>
            <w:r w:rsidRPr="002451CB">
              <w:rPr>
                <w:color w:val="000000"/>
              </w:rPr>
              <w:t>Zaangażowanie</w:t>
            </w:r>
          </w:p>
        </w:tc>
        <w:tc>
          <w:tcPr>
            <w:tcW w:w="1687" w:type="dxa"/>
            <w:tcBorders>
              <w:left w:val="nil"/>
              <w:right w:val="nil"/>
            </w:tcBorders>
          </w:tcPr>
          <w:p w:rsidR="00B3075F" w:rsidRPr="00B362CB" w:rsidRDefault="00B3075F" w:rsidP="003F48BC">
            <w:pPr>
              <w:pStyle w:val="Wramce"/>
              <w:spacing w:before="100" w:after="60"/>
              <w:jc w:val="center"/>
            </w:pPr>
            <w:r>
              <w:t>z treningiem</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30</w:t>
            </w:r>
          </w:p>
        </w:tc>
        <w:tc>
          <w:tcPr>
            <w:tcW w:w="1117" w:type="dxa"/>
            <w:gridSpan w:val="2"/>
            <w:tcBorders>
              <w:left w:val="nil"/>
              <w:right w:val="nil"/>
            </w:tcBorders>
          </w:tcPr>
          <w:p w:rsidR="00B3075F" w:rsidRPr="002451CB" w:rsidRDefault="00B3075F" w:rsidP="003F48BC">
            <w:pPr>
              <w:pStyle w:val="Wramce"/>
              <w:spacing w:before="100" w:after="60"/>
              <w:rPr>
                <w:color w:val="000000"/>
              </w:rPr>
            </w:pPr>
            <w:r w:rsidRPr="002451CB">
              <w:rPr>
                <w:color w:val="000000"/>
              </w:rPr>
              <w:t>3,67</w:t>
            </w:r>
          </w:p>
        </w:tc>
        <w:tc>
          <w:tcPr>
            <w:tcW w:w="876" w:type="dxa"/>
            <w:gridSpan w:val="2"/>
            <w:vMerge w:val="restart"/>
            <w:tcBorders>
              <w:left w:val="nil"/>
              <w:right w:val="nil"/>
            </w:tcBorders>
            <w:vAlign w:val="center"/>
          </w:tcPr>
          <w:p w:rsidR="00B3075F" w:rsidRPr="002451CB" w:rsidRDefault="00B3075F" w:rsidP="003F48BC">
            <w:pPr>
              <w:pStyle w:val="Wramce"/>
              <w:spacing w:before="100" w:after="60"/>
              <w:jc w:val="left"/>
              <w:rPr>
                <w:color w:val="000000"/>
              </w:rPr>
            </w:pPr>
            <w:r w:rsidRPr="002451CB">
              <w:rPr>
                <w:color w:val="000000"/>
              </w:rPr>
              <w:t>-0,05</w:t>
            </w:r>
          </w:p>
        </w:tc>
        <w:tc>
          <w:tcPr>
            <w:tcW w:w="934" w:type="dxa"/>
            <w:gridSpan w:val="2"/>
            <w:vMerge w:val="restart"/>
            <w:tcBorders>
              <w:left w:val="nil"/>
              <w:right w:val="nil"/>
            </w:tcBorders>
            <w:vAlign w:val="center"/>
          </w:tcPr>
          <w:p w:rsidR="00B3075F" w:rsidRPr="002451CB" w:rsidRDefault="00B3075F" w:rsidP="003F48BC">
            <w:pPr>
              <w:pStyle w:val="Wramce"/>
              <w:spacing w:before="100" w:after="60"/>
              <w:jc w:val="left"/>
              <w:rPr>
                <w:color w:val="000000"/>
              </w:rPr>
            </w:pPr>
            <w:r w:rsidRPr="002451CB">
              <w:rPr>
                <w:color w:val="000000"/>
              </w:rPr>
              <w:t>66</w:t>
            </w:r>
          </w:p>
        </w:tc>
        <w:tc>
          <w:tcPr>
            <w:tcW w:w="1496" w:type="dxa"/>
            <w:gridSpan w:val="2"/>
            <w:vMerge w:val="restart"/>
            <w:tcBorders>
              <w:left w:val="nil"/>
              <w:right w:val="nil"/>
            </w:tcBorders>
            <w:vAlign w:val="center"/>
          </w:tcPr>
          <w:p w:rsidR="00B3075F" w:rsidRPr="002451CB" w:rsidRDefault="00B3075F" w:rsidP="003F48BC">
            <w:pPr>
              <w:pStyle w:val="Wramce"/>
              <w:spacing w:before="100" w:after="60"/>
              <w:jc w:val="left"/>
              <w:rPr>
                <w:color w:val="000000"/>
              </w:rPr>
            </w:pPr>
            <w:r w:rsidRPr="002451CB">
              <w:rPr>
                <w:color w:val="000000"/>
              </w:rPr>
              <w:t>0,96</w:t>
            </w:r>
          </w:p>
        </w:tc>
      </w:tr>
      <w:tr w:rsidR="00B3075F" w:rsidRPr="00B362CB" w:rsidTr="003F48BC">
        <w:trPr>
          <w:trHeight w:val="299"/>
        </w:trPr>
        <w:tc>
          <w:tcPr>
            <w:tcW w:w="1722" w:type="dxa"/>
            <w:vMerge/>
            <w:tcBorders>
              <w:left w:val="nil"/>
              <w:right w:val="nil"/>
            </w:tcBorders>
            <w:vAlign w:val="center"/>
          </w:tcPr>
          <w:p w:rsidR="00B3075F" w:rsidRPr="002451CB" w:rsidRDefault="00B3075F" w:rsidP="003F48BC">
            <w:pPr>
              <w:pStyle w:val="Wramce"/>
              <w:spacing w:before="100" w:after="60"/>
              <w:jc w:val="left"/>
              <w:rPr>
                <w:color w:val="000000"/>
              </w:rPr>
            </w:pPr>
          </w:p>
        </w:tc>
        <w:tc>
          <w:tcPr>
            <w:tcW w:w="1687" w:type="dxa"/>
            <w:tcBorders>
              <w:left w:val="nil"/>
              <w:right w:val="nil"/>
            </w:tcBorders>
          </w:tcPr>
          <w:p w:rsidR="00B3075F" w:rsidRPr="00B362CB" w:rsidRDefault="00B3075F" w:rsidP="003F48BC">
            <w:pPr>
              <w:pStyle w:val="Wramce"/>
              <w:spacing w:before="100" w:after="60"/>
              <w:jc w:val="center"/>
            </w:pPr>
            <w:r>
              <w:t>z aktywizacją</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38</w:t>
            </w:r>
          </w:p>
        </w:tc>
        <w:tc>
          <w:tcPr>
            <w:tcW w:w="1117" w:type="dxa"/>
            <w:gridSpan w:val="2"/>
            <w:tcBorders>
              <w:left w:val="nil"/>
              <w:right w:val="nil"/>
            </w:tcBorders>
          </w:tcPr>
          <w:p w:rsidR="00B3075F" w:rsidRPr="002451CB" w:rsidRDefault="00B3075F" w:rsidP="003F48BC">
            <w:pPr>
              <w:pStyle w:val="Wramce"/>
              <w:spacing w:before="100" w:after="60"/>
              <w:rPr>
                <w:color w:val="000000"/>
              </w:rPr>
            </w:pPr>
            <w:r w:rsidRPr="002451CB">
              <w:rPr>
                <w:color w:val="000000"/>
              </w:rPr>
              <w:t>3,68</w:t>
            </w:r>
          </w:p>
        </w:tc>
        <w:tc>
          <w:tcPr>
            <w:tcW w:w="876" w:type="dxa"/>
            <w:gridSpan w:val="2"/>
            <w:vMerge/>
            <w:tcBorders>
              <w:left w:val="nil"/>
              <w:right w:val="nil"/>
            </w:tcBorders>
            <w:vAlign w:val="center"/>
          </w:tcPr>
          <w:p w:rsidR="00B3075F" w:rsidRPr="002451CB" w:rsidRDefault="00B3075F" w:rsidP="003F48BC">
            <w:pPr>
              <w:pStyle w:val="Wramce"/>
              <w:spacing w:before="100" w:after="60"/>
              <w:jc w:val="left"/>
              <w:rPr>
                <w:color w:val="000000"/>
              </w:rPr>
            </w:pPr>
          </w:p>
        </w:tc>
        <w:tc>
          <w:tcPr>
            <w:tcW w:w="934" w:type="dxa"/>
            <w:gridSpan w:val="2"/>
            <w:vMerge/>
            <w:tcBorders>
              <w:left w:val="nil"/>
              <w:right w:val="nil"/>
            </w:tcBorders>
            <w:vAlign w:val="center"/>
          </w:tcPr>
          <w:p w:rsidR="00B3075F" w:rsidRPr="002451CB" w:rsidRDefault="00B3075F" w:rsidP="003F48BC">
            <w:pPr>
              <w:pStyle w:val="Wramce"/>
              <w:spacing w:before="100" w:after="60"/>
              <w:jc w:val="left"/>
              <w:rPr>
                <w:color w:val="000000"/>
              </w:rPr>
            </w:pPr>
          </w:p>
        </w:tc>
        <w:tc>
          <w:tcPr>
            <w:tcW w:w="1496" w:type="dxa"/>
            <w:gridSpan w:val="2"/>
            <w:vMerge/>
            <w:tcBorders>
              <w:left w:val="nil"/>
              <w:right w:val="nil"/>
            </w:tcBorders>
            <w:vAlign w:val="center"/>
          </w:tcPr>
          <w:p w:rsidR="00B3075F" w:rsidRPr="002451CB" w:rsidRDefault="00B3075F" w:rsidP="003F48BC">
            <w:pPr>
              <w:pStyle w:val="Wramce"/>
              <w:spacing w:before="100" w:after="60"/>
              <w:jc w:val="left"/>
              <w:rPr>
                <w:color w:val="000000"/>
              </w:rPr>
            </w:pPr>
          </w:p>
        </w:tc>
      </w:tr>
      <w:tr w:rsidR="00B3075F" w:rsidRPr="00B362CB" w:rsidTr="003F48BC">
        <w:trPr>
          <w:trHeight w:val="299"/>
        </w:trPr>
        <w:tc>
          <w:tcPr>
            <w:tcW w:w="1722" w:type="dxa"/>
            <w:vMerge w:val="restart"/>
            <w:tcBorders>
              <w:left w:val="nil"/>
              <w:right w:val="nil"/>
            </w:tcBorders>
            <w:vAlign w:val="center"/>
          </w:tcPr>
          <w:p w:rsidR="00B3075F" w:rsidRPr="00B362CB" w:rsidRDefault="00B3075F" w:rsidP="003F48BC">
            <w:pPr>
              <w:pStyle w:val="Wramce"/>
              <w:spacing w:before="100" w:after="60"/>
              <w:jc w:val="left"/>
            </w:pPr>
            <w:r w:rsidRPr="002451CB">
              <w:rPr>
                <w:color w:val="000000"/>
              </w:rPr>
              <w:t>Planowanie</w:t>
            </w:r>
          </w:p>
        </w:tc>
        <w:tc>
          <w:tcPr>
            <w:tcW w:w="1687" w:type="dxa"/>
            <w:tcBorders>
              <w:left w:val="nil"/>
              <w:right w:val="nil"/>
            </w:tcBorders>
          </w:tcPr>
          <w:p w:rsidR="00B3075F" w:rsidRPr="00B362CB" w:rsidRDefault="00B3075F" w:rsidP="003F48BC">
            <w:pPr>
              <w:pStyle w:val="Wramce"/>
              <w:spacing w:before="100" w:after="60"/>
              <w:jc w:val="center"/>
            </w:pPr>
            <w:r w:rsidRPr="00B362CB">
              <w:t>gr 1</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30</w:t>
            </w:r>
          </w:p>
        </w:tc>
        <w:tc>
          <w:tcPr>
            <w:tcW w:w="1117" w:type="dxa"/>
            <w:gridSpan w:val="2"/>
            <w:tcBorders>
              <w:left w:val="nil"/>
              <w:right w:val="nil"/>
            </w:tcBorders>
          </w:tcPr>
          <w:p w:rsidR="00B3075F" w:rsidRPr="002451CB" w:rsidRDefault="00B3075F" w:rsidP="003F48BC">
            <w:pPr>
              <w:pStyle w:val="Wramce"/>
              <w:spacing w:before="100" w:after="60"/>
              <w:rPr>
                <w:color w:val="000000"/>
              </w:rPr>
            </w:pPr>
            <w:r w:rsidRPr="002451CB">
              <w:rPr>
                <w:color w:val="000000"/>
              </w:rPr>
              <w:t>3,10</w:t>
            </w:r>
          </w:p>
        </w:tc>
        <w:tc>
          <w:tcPr>
            <w:tcW w:w="876" w:type="dxa"/>
            <w:gridSpan w:val="2"/>
            <w:vMerge w:val="restart"/>
            <w:tcBorders>
              <w:left w:val="nil"/>
              <w:right w:val="nil"/>
            </w:tcBorders>
            <w:vAlign w:val="center"/>
          </w:tcPr>
          <w:p w:rsidR="00B3075F" w:rsidRPr="002451CB" w:rsidRDefault="00B3075F" w:rsidP="003F48BC">
            <w:pPr>
              <w:pStyle w:val="Wramce"/>
              <w:spacing w:before="100" w:after="60"/>
              <w:jc w:val="left"/>
              <w:rPr>
                <w:color w:val="000000"/>
              </w:rPr>
            </w:pPr>
            <w:r w:rsidRPr="002451CB">
              <w:rPr>
                <w:color w:val="000000"/>
              </w:rPr>
              <w:t>2,8</w:t>
            </w:r>
            <w:r>
              <w:rPr>
                <w:color w:val="000000"/>
              </w:rPr>
              <w:t>6</w:t>
            </w:r>
          </w:p>
        </w:tc>
        <w:tc>
          <w:tcPr>
            <w:tcW w:w="934" w:type="dxa"/>
            <w:gridSpan w:val="2"/>
            <w:vMerge w:val="restart"/>
            <w:tcBorders>
              <w:left w:val="nil"/>
              <w:right w:val="nil"/>
            </w:tcBorders>
            <w:vAlign w:val="center"/>
          </w:tcPr>
          <w:p w:rsidR="00B3075F" w:rsidRPr="002451CB" w:rsidRDefault="00B3075F" w:rsidP="003F48BC">
            <w:pPr>
              <w:pStyle w:val="Wramce"/>
              <w:spacing w:before="100" w:after="60"/>
              <w:jc w:val="left"/>
              <w:rPr>
                <w:color w:val="000000"/>
              </w:rPr>
            </w:pPr>
            <w:r w:rsidRPr="002451CB">
              <w:rPr>
                <w:color w:val="000000"/>
              </w:rPr>
              <w:t>64</w:t>
            </w:r>
          </w:p>
        </w:tc>
        <w:tc>
          <w:tcPr>
            <w:tcW w:w="1496" w:type="dxa"/>
            <w:gridSpan w:val="2"/>
            <w:vMerge w:val="restart"/>
            <w:tcBorders>
              <w:left w:val="nil"/>
              <w:right w:val="nil"/>
            </w:tcBorders>
            <w:vAlign w:val="center"/>
          </w:tcPr>
          <w:p w:rsidR="00B3075F" w:rsidRPr="002451CB" w:rsidRDefault="00B3075F" w:rsidP="003F48BC">
            <w:pPr>
              <w:pStyle w:val="Wramce"/>
              <w:spacing w:before="100" w:after="60"/>
              <w:jc w:val="left"/>
              <w:rPr>
                <w:color w:val="000000"/>
              </w:rPr>
            </w:pPr>
            <w:r w:rsidRPr="002451CB">
              <w:rPr>
                <w:color w:val="000000"/>
              </w:rPr>
              <w:t>0,0</w:t>
            </w:r>
            <w:r>
              <w:rPr>
                <w:color w:val="000000"/>
              </w:rPr>
              <w:t>1</w:t>
            </w:r>
          </w:p>
        </w:tc>
      </w:tr>
      <w:tr w:rsidR="00B3075F" w:rsidRPr="00B362CB" w:rsidTr="003F48BC">
        <w:trPr>
          <w:trHeight w:val="299"/>
        </w:trPr>
        <w:tc>
          <w:tcPr>
            <w:tcW w:w="1722" w:type="dxa"/>
            <w:vMerge/>
            <w:tcBorders>
              <w:left w:val="nil"/>
              <w:right w:val="nil"/>
            </w:tcBorders>
            <w:vAlign w:val="center"/>
          </w:tcPr>
          <w:p w:rsidR="00B3075F" w:rsidRPr="002451CB" w:rsidRDefault="00B3075F" w:rsidP="003F48BC">
            <w:pPr>
              <w:pStyle w:val="Wramce"/>
              <w:spacing w:before="100" w:after="60"/>
              <w:jc w:val="left"/>
              <w:rPr>
                <w:color w:val="000000"/>
              </w:rPr>
            </w:pPr>
          </w:p>
        </w:tc>
        <w:tc>
          <w:tcPr>
            <w:tcW w:w="1687" w:type="dxa"/>
            <w:tcBorders>
              <w:left w:val="nil"/>
              <w:right w:val="nil"/>
            </w:tcBorders>
          </w:tcPr>
          <w:p w:rsidR="00B3075F" w:rsidRPr="00B362CB" w:rsidRDefault="00B3075F" w:rsidP="003F48BC">
            <w:pPr>
              <w:pStyle w:val="Wramce"/>
              <w:spacing w:before="100" w:after="60"/>
              <w:jc w:val="center"/>
            </w:pPr>
            <w:r w:rsidRPr="00B362CB">
              <w:t>gr 2</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38</w:t>
            </w:r>
          </w:p>
        </w:tc>
        <w:tc>
          <w:tcPr>
            <w:tcW w:w="1117" w:type="dxa"/>
            <w:gridSpan w:val="2"/>
            <w:tcBorders>
              <w:left w:val="nil"/>
              <w:right w:val="nil"/>
            </w:tcBorders>
          </w:tcPr>
          <w:p w:rsidR="00B3075F" w:rsidRPr="002451CB" w:rsidRDefault="00B3075F" w:rsidP="003F48BC">
            <w:pPr>
              <w:pStyle w:val="Wramce"/>
              <w:spacing w:before="100" w:after="60"/>
              <w:rPr>
                <w:color w:val="000000"/>
              </w:rPr>
            </w:pPr>
            <w:r w:rsidRPr="002451CB">
              <w:rPr>
                <w:color w:val="000000"/>
              </w:rPr>
              <w:t>2,17</w:t>
            </w:r>
          </w:p>
        </w:tc>
        <w:tc>
          <w:tcPr>
            <w:tcW w:w="876" w:type="dxa"/>
            <w:gridSpan w:val="2"/>
            <w:vMerge/>
            <w:tcBorders>
              <w:left w:val="nil"/>
              <w:right w:val="nil"/>
            </w:tcBorders>
            <w:vAlign w:val="center"/>
          </w:tcPr>
          <w:p w:rsidR="00B3075F" w:rsidRPr="002451CB" w:rsidRDefault="00B3075F" w:rsidP="003F48BC">
            <w:pPr>
              <w:pStyle w:val="Wramce"/>
              <w:spacing w:before="100" w:after="60"/>
              <w:jc w:val="left"/>
              <w:rPr>
                <w:color w:val="000000"/>
              </w:rPr>
            </w:pPr>
          </w:p>
        </w:tc>
        <w:tc>
          <w:tcPr>
            <w:tcW w:w="934" w:type="dxa"/>
            <w:gridSpan w:val="2"/>
            <w:vMerge/>
            <w:tcBorders>
              <w:left w:val="nil"/>
              <w:right w:val="nil"/>
            </w:tcBorders>
            <w:vAlign w:val="center"/>
          </w:tcPr>
          <w:p w:rsidR="00B3075F" w:rsidRPr="002451CB" w:rsidRDefault="00B3075F" w:rsidP="003F48BC">
            <w:pPr>
              <w:pStyle w:val="Wramce"/>
              <w:spacing w:before="100" w:after="60"/>
              <w:jc w:val="left"/>
              <w:rPr>
                <w:color w:val="000000"/>
              </w:rPr>
            </w:pPr>
          </w:p>
        </w:tc>
        <w:tc>
          <w:tcPr>
            <w:tcW w:w="1496" w:type="dxa"/>
            <w:gridSpan w:val="2"/>
            <w:vMerge/>
            <w:tcBorders>
              <w:left w:val="nil"/>
              <w:right w:val="nil"/>
            </w:tcBorders>
            <w:vAlign w:val="center"/>
          </w:tcPr>
          <w:p w:rsidR="00B3075F" w:rsidRPr="002451CB" w:rsidRDefault="00B3075F" w:rsidP="003F48BC">
            <w:pPr>
              <w:pStyle w:val="Wramce"/>
              <w:spacing w:before="100" w:after="60"/>
              <w:jc w:val="left"/>
              <w:rPr>
                <w:color w:val="000000"/>
              </w:rPr>
            </w:pPr>
          </w:p>
        </w:tc>
      </w:tr>
      <w:tr w:rsidR="00B3075F" w:rsidRPr="00B362CB" w:rsidTr="003F48BC">
        <w:trPr>
          <w:trHeight w:val="299"/>
        </w:trPr>
        <w:tc>
          <w:tcPr>
            <w:tcW w:w="1722" w:type="dxa"/>
            <w:vMerge w:val="restart"/>
            <w:tcBorders>
              <w:left w:val="nil"/>
              <w:right w:val="nil"/>
            </w:tcBorders>
            <w:vAlign w:val="center"/>
          </w:tcPr>
          <w:p w:rsidR="00B3075F" w:rsidRPr="00B362CB" w:rsidRDefault="00B3075F" w:rsidP="003F48BC">
            <w:pPr>
              <w:pStyle w:val="Wramce"/>
              <w:spacing w:before="100" w:after="60"/>
              <w:jc w:val="left"/>
            </w:pPr>
            <w:r w:rsidRPr="002451CB">
              <w:rPr>
                <w:color w:val="000000"/>
              </w:rPr>
              <w:t>Monitorowanie</w:t>
            </w:r>
          </w:p>
        </w:tc>
        <w:tc>
          <w:tcPr>
            <w:tcW w:w="1687" w:type="dxa"/>
            <w:tcBorders>
              <w:left w:val="nil"/>
              <w:right w:val="nil"/>
            </w:tcBorders>
          </w:tcPr>
          <w:p w:rsidR="00B3075F" w:rsidRPr="00B362CB" w:rsidRDefault="00B3075F" w:rsidP="003F48BC">
            <w:pPr>
              <w:pStyle w:val="Wramce"/>
              <w:spacing w:before="100" w:after="60"/>
              <w:jc w:val="center"/>
            </w:pPr>
            <w:r w:rsidRPr="00B362CB">
              <w:t>gr 1</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30</w:t>
            </w:r>
          </w:p>
        </w:tc>
        <w:tc>
          <w:tcPr>
            <w:tcW w:w="1117" w:type="dxa"/>
            <w:gridSpan w:val="2"/>
            <w:tcBorders>
              <w:left w:val="nil"/>
              <w:right w:val="nil"/>
            </w:tcBorders>
          </w:tcPr>
          <w:p w:rsidR="00B3075F" w:rsidRPr="002451CB" w:rsidRDefault="00B3075F" w:rsidP="003F48BC">
            <w:pPr>
              <w:pStyle w:val="Wramce"/>
              <w:spacing w:before="100" w:after="60"/>
              <w:rPr>
                <w:color w:val="000000"/>
              </w:rPr>
            </w:pPr>
            <w:r w:rsidRPr="002451CB">
              <w:rPr>
                <w:color w:val="000000"/>
              </w:rPr>
              <w:t>3,07</w:t>
            </w:r>
          </w:p>
        </w:tc>
        <w:tc>
          <w:tcPr>
            <w:tcW w:w="876" w:type="dxa"/>
            <w:gridSpan w:val="2"/>
            <w:vMerge w:val="restart"/>
            <w:tcBorders>
              <w:left w:val="nil"/>
              <w:right w:val="nil"/>
            </w:tcBorders>
            <w:vAlign w:val="center"/>
          </w:tcPr>
          <w:p w:rsidR="00B3075F" w:rsidRPr="002451CB" w:rsidRDefault="00B3075F" w:rsidP="003F48BC">
            <w:pPr>
              <w:pStyle w:val="Wramce"/>
              <w:spacing w:before="100" w:after="60"/>
              <w:jc w:val="left"/>
              <w:rPr>
                <w:color w:val="000000"/>
              </w:rPr>
            </w:pPr>
            <w:r w:rsidRPr="002451CB">
              <w:rPr>
                <w:color w:val="000000"/>
              </w:rPr>
              <w:t>0,6</w:t>
            </w:r>
            <w:r>
              <w:rPr>
                <w:color w:val="000000"/>
              </w:rPr>
              <w:t>1</w:t>
            </w:r>
          </w:p>
        </w:tc>
        <w:tc>
          <w:tcPr>
            <w:tcW w:w="934" w:type="dxa"/>
            <w:gridSpan w:val="2"/>
            <w:vMerge w:val="restart"/>
            <w:tcBorders>
              <w:left w:val="nil"/>
              <w:right w:val="nil"/>
            </w:tcBorders>
            <w:vAlign w:val="center"/>
          </w:tcPr>
          <w:p w:rsidR="00B3075F" w:rsidRPr="002451CB" w:rsidRDefault="00B3075F" w:rsidP="003F48BC">
            <w:pPr>
              <w:pStyle w:val="Wramce"/>
              <w:spacing w:before="100" w:after="60"/>
              <w:jc w:val="left"/>
              <w:rPr>
                <w:color w:val="000000"/>
              </w:rPr>
            </w:pPr>
            <w:r>
              <w:rPr>
                <w:color w:val="000000"/>
              </w:rPr>
              <w:t>63,26</w:t>
            </w:r>
          </w:p>
        </w:tc>
        <w:tc>
          <w:tcPr>
            <w:tcW w:w="1496" w:type="dxa"/>
            <w:gridSpan w:val="2"/>
            <w:vMerge w:val="restart"/>
            <w:tcBorders>
              <w:left w:val="nil"/>
              <w:right w:val="nil"/>
            </w:tcBorders>
            <w:vAlign w:val="center"/>
          </w:tcPr>
          <w:p w:rsidR="00B3075F" w:rsidRPr="002451CB" w:rsidRDefault="00B3075F" w:rsidP="003F48BC">
            <w:pPr>
              <w:pStyle w:val="Wramce"/>
              <w:spacing w:before="100" w:after="60"/>
              <w:jc w:val="left"/>
              <w:rPr>
                <w:color w:val="000000"/>
              </w:rPr>
            </w:pPr>
            <w:r w:rsidRPr="002451CB">
              <w:rPr>
                <w:color w:val="000000"/>
              </w:rPr>
              <w:t>0,5</w:t>
            </w:r>
          </w:p>
        </w:tc>
      </w:tr>
      <w:tr w:rsidR="00B3075F" w:rsidRPr="00B362CB" w:rsidTr="003F48BC">
        <w:trPr>
          <w:trHeight w:val="299"/>
        </w:trPr>
        <w:tc>
          <w:tcPr>
            <w:tcW w:w="1722" w:type="dxa"/>
            <w:vMerge/>
            <w:tcBorders>
              <w:left w:val="nil"/>
              <w:right w:val="nil"/>
            </w:tcBorders>
            <w:vAlign w:val="center"/>
          </w:tcPr>
          <w:p w:rsidR="00B3075F" w:rsidRPr="002451CB" w:rsidRDefault="00B3075F" w:rsidP="003F48BC">
            <w:pPr>
              <w:pStyle w:val="Wramce"/>
              <w:spacing w:before="100" w:after="60"/>
              <w:jc w:val="left"/>
              <w:rPr>
                <w:color w:val="000000"/>
              </w:rPr>
            </w:pPr>
          </w:p>
        </w:tc>
        <w:tc>
          <w:tcPr>
            <w:tcW w:w="1687" w:type="dxa"/>
            <w:tcBorders>
              <w:left w:val="nil"/>
              <w:right w:val="nil"/>
            </w:tcBorders>
          </w:tcPr>
          <w:p w:rsidR="00B3075F" w:rsidRPr="00B362CB" w:rsidRDefault="00B3075F" w:rsidP="003F48BC">
            <w:pPr>
              <w:pStyle w:val="Wramce"/>
              <w:spacing w:before="100" w:after="60"/>
              <w:jc w:val="center"/>
            </w:pPr>
            <w:r w:rsidRPr="00B362CB">
              <w:t>gr 2</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38</w:t>
            </w:r>
          </w:p>
        </w:tc>
        <w:tc>
          <w:tcPr>
            <w:tcW w:w="1117" w:type="dxa"/>
            <w:gridSpan w:val="2"/>
            <w:tcBorders>
              <w:left w:val="nil"/>
              <w:right w:val="nil"/>
            </w:tcBorders>
          </w:tcPr>
          <w:p w:rsidR="00B3075F" w:rsidRPr="002451CB" w:rsidRDefault="00B3075F" w:rsidP="003F48BC">
            <w:pPr>
              <w:pStyle w:val="Wramce"/>
              <w:spacing w:before="100" w:after="60"/>
              <w:rPr>
                <w:color w:val="000000"/>
              </w:rPr>
            </w:pPr>
            <w:r w:rsidRPr="002451CB">
              <w:rPr>
                <w:color w:val="000000"/>
              </w:rPr>
              <w:t>2,</w:t>
            </w:r>
            <w:r>
              <w:rPr>
                <w:color w:val="000000"/>
              </w:rPr>
              <w:t>90</w:t>
            </w:r>
          </w:p>
        </w:tc>
        <w:tc>
          <w:tcPr>
            <w:tcW w:w="876" w:type="dxa"/>
            <w:gridSpan w:val="2"/>
            <w:vMerge/>
            <w:tcBorders>
              <w:left w:val="nil"/>
              <w:right w:val="nil"/>
            </w:tcBorders>
            <w:vAlign w:val="center"/>
          </w:tcPr>
          <w:p w:rsidR="00B3075F" w:rsidRPr="002451CB" w:rsidRDefault="00B3075F" w:rsidP="003F48BC">
            <w:pPr>
              <w:pStyle w:val="Wramce"/>
              <w:spacing w:before="100" w:after="60"/>
              <w:jc w:val="left"/>
              <w:rPr>
                <w:color w:val="000000"/>
              </w:rPr>
            </w:pPr>
          </w:p>
        </w:tc>
        <w:tc>
          <w:tcPr>
            <w:tcW w:w="934" w:type="dxa"/>
            <w:gridSpan w:val="2"/>
            <w:vMerge/>
            <w:tcBorders>
              <w:left w:val="nil"/>
              <w:right w:val="nil"/>
            </w:tcBorders>
            <w:vAlign w:val="center"/>
          </w:tcPr>
          <w:p w:rsidR="00B3075F" w:rsidRPr="002451CB" w:rsidRDefault="00B3075F" w:rsidP="003F48BC">
            <w:pPr>
              <w:pStyle w:val="Wramce"/>
              <w:spacing w:before="100" w:after="60"/>
              <w:jc w:val="left"/>
              <w:rPr>
                <w:color w:val="000000"/>
              </w:rPr>
            </w:pPr>
          </w:p>
        </w:tc>
        <w:tc>
          <w:tcPr>
            <w:tcW w:w="1496" w:type="dxa"/>
            <w:gridSpan w:val="2"/>
            <w:vMerge/>
            <w:tcBorders>
              <w:left w:val="nil"/>
              <w:right w:val="nil"/>
            </w:tcBorders>
            <w:vAlign w:val="center"/>
          </w:tcPr>
          <w:p w:rsidR="00B3075F" w:rsidRPr="002451CB" w:rsidRDefault="00B3075F" w:rsidP="003F48BC">
            <w:pPr>
              <w:pStyle w:val="Wramce"/>
              <w:spacing w:before="100" w:after="60"/>
              <w:jc w:val="left"/>
              <w:rPr>
                <w:color w:val="000000"/>
              </w:rPr>
            </w:pPr>
          </w:p>
        </w:tc>
      </w:tr>
      <w:tr w:rsidR="00B3075F" w:rsidRPr="00B362CB" w:rsidTr="003F48BC">
        <w:trPr>
          <w:trHeight w:val="299"/>
        </w:trPr>
        <w:tc>
          <w:tcPr>
            <w:tcW w:w="1722" w:type="dxa"/>
            <w:vMerge w:val="restart"/>
            <w:tcBorders>
              <w:left w:val="nil"/>
              <w:right w:val="nil"/>
            </w:tcBorders>
            <w:shd w:val="clear" w:color="auto" w:fill="auto"/>
            <w:vAlign w:val="center"/>
          </w:tcPr>
          <w:p w:rsidR="00B3075F" w:rsidRPr="00B362CB" w:rsidRDefault="00B3075F" w:rsidP="003F48BC">
            <w:pPr>
              <w:pStyle w:val="Wramce"/>
              <w:spacing w:before="100" w:after="60"/>
              <w:jc w:val="left"/>
            </w:pPr>
            <w:r w:rsidRPr="002451CB">
              <w:rPr>
                <w:color w:val="000000"/>
              </w:rPr>
              <w:t>Ocena</w:t>
            </w:r>
          </w:p>
        </w:tc>
        <w:tc>
          <w:tcPr>
            <w:tcW w:w="1687" w:type="dxa"/>
            <w:tcBorders>
              <w:left w:val="nil"/>
              <w:right w:val="nil"/>
            </w:tcBorders>
          </w:tcPr>
          <w:p w:rsidR="00B3075F" w:rsidRPr="00B362CB" w:rsidRDefault="00B3075F" w:rsidP="003F48BC">
            <w:pPr>
              <w:pStyle w:val="Wramce"/>
              <w:spacing w:before="100" w:after="60"/>
              <w:jc w:val="center"/>
            </w:pPr>
            <w:r w:rsidRPr="00B362CB">
              <w:t>gr 1</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30</w:t>
            </w:r>
          </w:p>
        </w:tc>
        <w:tc>
          <w:tcPr>
            <w:tcW w:w="1117" w:type="dxa"/>
            <w:gridSpan w:val="2"/>
            <w:tcBorders>
              <w:left w:val="nil"/>
              <w:right w:val="nil"/>
            </w:tcBorders>
          </w:tcPr>
          <w:p w:rsidR="00B3075F" w:rsidRPr="002451CB" w:rsidRDefault="00B3075F" w:rsidP="003F48BC">
            <w:pPr>
              <w:pStyle w:val="Wramce"/>
              <w:spacing w:before="100" w:after="60"/>
              <w:rPr>
                <w:color w:val="000000"/>
              </w:rPr>
            </w:pPr>
            <w:r w:rsidRPr="002451CB">
              <w:rPr>
                <w:color w:val="000000"/>
              </w:rPr>
              <w:t>1,17</w:t>
            </w:r>
          </w:p>
        </w:tc>
        <w:tc>
          <w:tcPr>
            <w:tcW w:w="876" w:type="dxa"/>
            <w:gridSpan w:val="2"/>
            <w:vMerge w:val="restart"/>
            <w:tcBorders>
              <w:left w:val="nil"/>
              <w:right w:val="nil"/>
            </w:tcBorders>
            <w:shd w:val="clear" w:color="auto" w:fill="auto"/>
            <w:vAlign w:val="center"/>
          </w:tcPr>
          <w:p w:rsidR="00B3075F" w:rsidRPr="002451CB" w:rsidRDefault="00B3075F" w:rsidP="003F48BC">
            <w:pPr>
              <w:pStyle w:val="Wramce"/>
              <w:spacing w:before="100" w:after="60"/>
              <w:jc w:val="left"/>
              <w:rPr>
                <w:color w:val="000000"/>
              </w:rPr>
            </w:pPr>
            <w:r w:rsidRPr="002451CB">
              <w:rPr>
                <w:color w:val="000000"/>
              </w:rPr>
              <w:t>3,0</w:t>
            </w:r>
            <w:r>
              <w:rPr>
                <w:color w:val="000000"/>
              </w:rPr>
              <w:t>3</w:t>
            </w:r>
          </w:p>
        </w:tc>
        <w:tc>
          <w:tcPr>
            <w:tcW w:w="934" w:type="dxa"/>
            <w:gridSpan w:val="2"/>
            <w:vMerge w:val="restart"/>
            <w:tcBorders>
              <w:left w:val="nil"/>
              <w:right w:val="nil"/>
            </w:tcBorders>
            <w:shd w:val="clear" w:color="auto" w:fill="auto"/>
            <w:vAlign w:val="center"/>
          </w:tcPr>
          <w:p w:rsidR="00B3075F" w:rsidRPr="002451CB" w:rsidRDefault="00B3075F" w:rsidP="003F48BC">
            <w:pPr>
              <w:pStyle w:val="Wramce"/>
              <w:spacing w:before="100" w:after="60"/>
              <w:jc w:val="left"/>
              <w:rPr>
                <w:color w:val="000000"/>
              </w:rPr>
            </w:pPr>
            <w:r>
              <w:rPr>
                <w:color w:val="000000"/>
              </w:rPr>
              <w:t>59,04</w:t>
            </w:r>
          </w:p>
        </w:tc>
        <w:tc>
          <w:tcPr>
            <w:tcW w:w="1496" w:type="dxa"/>
            <w:gridSpan w:val="2"/>
            <w:vMerge w:val="restart"/>
            <w:tcBorders>
              <w:left w:val="nil"/>
              <w:right w:val="nil"/>
            </w:tcBorders>
            <w:shd w:val="clear" w:color="auto" w:fill="auto"/>
            <w:vAlign w:val="center"/>
          </w:tcPr>
          <w:p w:rsidR="00B3075F" w:rsidRPr="002451CB" w:rsidRDefault="00B3075F" w:rsidP="003F48BC">
            <w:pPr>
              <w:pStyle w:val="Wramce"/>
              <w:spacing w:before="100" w:after="60"/>
              <w:jc w:val="left"/>
              <w:rPr>
                <w:color w:val="000000"/>
              </w:rPr>
            </w:pPr>
            <w:r w:rsidRPr="002451CB">
              <w:rPr>
                <w:color w:val="000000"/>
              </w:rPr>
              <w:t>0,0</w:t>
            </w:r>
            <w:r>
              <w:rPr>
                <w:color w:val="000000"/>
              </w:rPr>
              <w:t>1</w:t>
            </w:r>
          </w:p>
        </w:tc>
      </w:tr>
      <w:tr w:rsidR="00B3075F" w:rsidRPr="00B362CB" w:rsidTr="003F48BC">
        <w:trPr>
          <w:trHeight w:val="299"/>
        </w:trPr>
        <w:tc>
          <w:tcPr>
            <w:tcW w:w="1722" w:type="dxa"/>
            <w:vMerge/>
            <w:tcBorders>
              <w:left w:val="nil"/>
              <w:right w:val="nil"/>
            </w:tcBorders>
          </w:tcPr>
          <w:p w:rsidR="00B3075F" w:rsidRPr="002451CB" w:rsidRDefault="00B3075F" w:rsidP="003F48BC">
            <w:pPr>
              <w:pStyle w:val="Wramce"/>
              <w:spacing w:before="100" w:after="60"/>
              <w:rPr>
                <w:color w:val="000000"/>
              </w:rPr>
            </w:pPr>
          </w:p>
        </w:tc>
        <w:tc>
          <w:tcPr>
            <w:tcW w:w="1687" w:type="dxa"/>
            <w:tcBorders>
              <w:left w:val="nil"/>
              <w:right w:val="nil"/>
            </w:tcBorders>
          </w:tcPr>
          <w:p w:rsidR="00B3075F" w:rsidRPr="00B362CB" w:rsidRDefault="00B3075F" w:rsidP="003F48BC">
            <w:pPr>
              <w:pStyle w:val="Wramce"/>
              <w:spacing w:before="100" w:after="60"/>
              <w:jc w:val="center"/>
            </w:pPr>
            <w:r w:rsidRPr="00B362CB">
              <w:t>gr 2</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38</w:t>
            </w:r>
          </w:p>
        </w:tc>
        <w:tc>
          <w:tcPr>
            <w:tcW w:w="1117" w:type="dxa"/>
            <w:gridSpan w:val="2"/>
            <w:tcBorders>
              <w:left w:val="nil"/>
              <w:right w:val="nil"/>
            </w:tcBorders>
          </w:tcPr>
          <w:p w:rsidR="00B3075F" w:rsidRPr="002451CB" w:rsidRDefault="00B3075F" w:rsidP="003F48BC">
            <w:pPr>
              <w:pStyle w:val="Wramce"/>
              <w:spacing w:before="100" w:after="60"/>
              <w:rPr>
                <w:color w:val="000000"/>
              </w:rPr>
            </w:pPr>
            <w:r>
              <w:rPr>
                <w:color w:val="000000"/>
              </w:rPr>
              <w:t>0</w:t>
            </w:r>
            <w:r w:rsidRPr="002451CB">
              <w:rPr>
                <w:color w:val="000000"/>
              </w:rPr>
              <w:t>,42</w:t>
            </w:r>
          </w:p>
        </w:tc>
        <w:tc>
          <w:tcPr>
            <w:tcW w:w="876" w:type="dxa"/>
            <w:gridSpan w:val="2"/>
            <w:vMerge/>
            <w:tcBorders>
              <w:left w:val="nil"/>
              <w:right w:val="nil"/>
            </w:tcBorders>
          </w:tcPr>
          <w:p w:rsidR="00B3075F" w:rsidRPr="002451CB" w:rsidRDefault="00B3075F" w:rsidP="003F48BC">
            <w:pPr>
              <w:pStyle w:val="Wramce"/>
              <w:spacing w:before="100" w:after="60"/>
              <w:rPr>
                <w:color w:val="000000"/>
              </w:rPr>
            </w:pPr>
          </w:p>
        </w:tc>
        <w:tc>
          <w:tcPr>
            <w:tcW w:w="934" w:type="dxa"/>
            <w:gridSpan w:val="2"/>
            <w:vMerge/>
            <w:tcBorders>
              <w:left w:val="nil"/>
              <w:right w:val="nil"/>
            </w:tcBorders>
          </w:tcPr>
          <w:p w:rsidR="00B3075F" w:rsidRPr="002451CB" w:rsidRDefault="00B3075F" w:rsidP="003F48BC">
            <w:pPr>
              <w:pStyle w:val="Wramce"/>
              <w:spacing w:before="100" w:after="60"/>
              <w:rPr>
                <w:color w:val="000000"/>
              </w:rPr>
            </w:pPr>
          </w:p>
        </w:tc>
        <w:tc>
          <w:tcPr>
            <w:tcW w:w="1496" w:type="dxa"/>
            <w:gridSpan w:val="2"/>
            <w:vMerge/>
            <w:tcBorders>
              <w:left w:val="nil"/>
              <w:right w:val="nil"/>
            </w:tcBorders>
          </w:tcPr>
          <w:p w:rsidR="00B3075F" w:rsidRPr="002451CB" w:rsidRDefault="00B3075F" w:rsidP="003F48BC">
            <w:pPr>
              <w:pStyle w:val="Wramce"/>
              <w:spacing w:before="100" w:after="60"/>
              <w:rPr>
                <w:color w:val="000000"/>
              </w:rPr>
            </w:pPr>
          </w:p>
        </w:tc>
      </w:tr>
    </w:tbl>
    <w:p w:rsidR="00B3075F" w:rsidRDefault="00B3075F" w:rsidP="00B3075F"/>
    <w:p w:rsidR="00B3075F" w:rsidRDefault="00B3075F" w:rsidP="00B3075F">
      <w:pPr>
        <w:pStyle w:val="PodpisTabeli"/>
      </w:pPr>
      <w:r>
        <w:t>Tabela 4</w:t>
      </w:r>
    </w:p>
    <w:p w:rsidR="00B3075F" w:rsidRPr="00395462" w:rsidRDefault="00B3075F" w:rsidP="00B3075F">
      <w:pPr>
        <w:pStyle w:val="PodpisTabeli"/>
        <w:rPr>
          <w:i/>
        </w:rPr>
      </w:pPr>
      <w:r w:rsidRPr="00395462">
        <w:rPr>
          <w:i/>
        </w:rPr>
        <w:t xml:space="preserve">Różnice w poziomie kompetencji </w:t>
      </w:r>
      <w:proofErr w:type="spellStart"/>
      <w:r w:rsidRPr="00395462">
        <w:rPr>
          <w:i/>
        </w:rPr>
        <w:t>metapoznawczej</w:t>
      </w:r>
      <w:proofErr w:type="spellEnd"/>
      <w:r w:rsidRPr="00395462">
        <w:rPr>
          <w:i/>
        </w:rPr>
        <w:t xml:space="preserve"> „kalibracja” miedzy grupą „z treningiem” a grupą „z aktywizacją”.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7"/>
        <w:gridCol w:w="1109"/>
        <w:gridCol w:w="1127"/>
        <w:gridCol w:w="876"/>
        <w:gridCol w:w="934"/>
        <w:gridCol w:w="1496"/>
      </w:tblGrid>
      <w:tr w:rsidR="00B3075F" w:rsidRPr="00B362CB" w:rsidTr="003F48BC">
        <w:trPr>
          <w:trHeight w:val="299"/>
        </w:trPr>
        <w:tc>
          <w:tcPr>
            <w:tcW w:w="1682" w:type="dxa"/>
            <w:vMerge w:val="restart"/>
            <w:tcBorders>
              <w:top w:val="single" w:sz="4" w:space="0" w:color="auto"/>
              <w:left w:val="nil"/>
              <w:bottom w:val="single" w:sz="4" w:space="0" w:color="auto"/>
              <w:right w:val="nil"/>
            </w:tcBorders>
          </w:tcPr>
          <w:p w:rsidR="00B3075F" w:rsidRPr="00123EDB" w:rsidRDefault="00B3075F" w:rsidP="003F48BC">
            <w:pPr>
              <w:pStyle w:val="Wramce"/>
              <w:spacing w:before="100" w:after="60"/>
              <w:rPr>
                <w:color w:val="000000"/>
              </w:rPr>
            </w:pPr>
          </w:p>
        </w:tc>
        <w:tc>
          <w:tcPr>
            <w:tcW w:w="1687" w:type="dxa"/>
            <w:tcBorders>
              <w:top w:val="single" w:sz="4" w:space="0" w:color="auto"/>
              <w:left w:val="nil"/>
              <w:bottom w:val="single" w:sz="4" w:space="0" w:color="auto"/>
              <w:right w:val="nil"/>
            </w:tcBorders>
          </w:tcPr>
          <w:p w:rsidR="00B3075F" w:rsidRPr="00B362CB" w:rsidRDefault="00B3075F" w:rsidP="003F48BC">
            <w:pPr>
              <w:pStyle w:val="Wramce"/>
              <w:spacing w:before="100" w:after="60"/>
            </w:pPr>
            <w:r>
              <w:t>Grupa</w:t>
            </w:r>
          </w:p>
        </w:tc>
        <w:tc>
          <w:tcPr>
            <w:tcW w:w="1109" w:type="dxa"/>
            <w:tcBorders>
              <w:top w:val="single" w:sz="4" w:space="0" w:color="auto"/>
              <w:left w:val="nil"/>
              <w:bottom w:val="single" w:sz="4" w:space="0" w:color="auto"/>
              <w:right w:val="nil"/>
            </w:tcBorders>
          </w:tcPr>
          <w:p w:rsidR="00B3075F" w:rsidRPr="00123EDB" w:rsidRDefault="00B3075F" w:rsidP="003F48BC">
            <w:pPr>
              <w:pStyle w:val="Wramce"/>
              <w:spacing w:before="100" w:after="60"/>
              <w:jc w:val="center"/>
              <w:rPr>
                <w:color w:val="000000"/>
              </w:rPr>
            </w:pPr>
            <w:r w:rsidRPr="00123EDB">
              <w:rPr>
                <w:color w:val="000000"/>
              </w:rPr>
              <w:t>N</w:t>
            </w:r>
          </w:p>
        </w:tc>
        <w:tc>
          <w:tcPr>
            <w:tcW w:w="1117" w:type="dxa"/>
            <w:tcBorders>
              <w:top w:val="single" w:sz="4" w:space="0" w:color="auto"/>
              <w:left w:val="nil"/>
              <w:bottom w:val="single" w:sz="4" w:space="0" w:color="auto"/>
              <w:right w:val="nil"/>
            </w:tcBorders>
          </w:tcPr>
          <w:p w:rsidR="00B3075F" w:rsidRPr="00983256" w:rsidRDefault="00B3075F" w:rsidP="003F48BC">
            <w:pPr>
              <w:pStyle w:val="Wramce"/>
              <w:spacing w:before="100" w:after="60"/>
              <w:rPr>
                <w:color w:val="000000"/>
                <w:sz w:val="20"/>
                <w:szCs w:val="20"/>
              </w:rPr>
            </w:pPr>
            <w:r w:rsidRPr="00983256">
              <w:rPr>
                <w:color w:val="000000"/>
                <w:sz w:val="20"/>
                <w:szCs w:val="20"/>
              </w:rPr>
              <w:t>Liczebność</w:t>
            </w:r>
          </w:p>
        </w:tc>
        <w:tc>
          <w:tcPr>
            <w:tcW w:w="876" w:type="dxa"/>
            <w:vMerge w:val="restart"/>
            <w:tcBorders>
              <w:top w:val="single" w:sz="4" w:space="0" w:color="auto"/>
              <w:left w:val="nil"/>
              <w:bottom w:val="single" w:sz="4" w:space="0" w:color="auto"/>
              <w:right w:val="nil"/>
            </w:tcBorders>
          </w:tcPr>
          <w:p w:rsidR="00B3075F" w:rsidRPr="002451CB" w:rsidRDefault="00B3075F" w:rsidP="003F48BC">
            <w:pPr>
              <w:pStyle w:val="Wramce"/>
              <w:spacing w:before="100" w:after="60"/>
              <w:rPr>
                <w:color w:val="000000"/>
              </w:rPr>
            </w:pPr>
            <w:r>
              <w:rPr>
                <w:color w:val="000000"/>
              </w:rPr>
              <w:t>Chi kw.</w:t>
            </w:r>
          </w:p>
        </w:tc>
        <w:tc>
          <w:tcPr>
            <w:tcW w:w="934" w:type="dxa"/>
            <w:vMerge w:val="restart"/>
            <w:tcBorders>
              <w:top w:val="single" w:sz="4" w:space="0" w:color="auto"/>
              <w:left w:val="nil"/>
              <w:bottom w:val="single" w:sz="4" w:space="0" w:color="auto"/>
              <w:right w:val="nil"/>
            </w:tcBorders>
          </w:tcPr>
          <w:p w:rsidR="00B3075F" w:rsidRPr="002451CB" w:rsidRDefault="00B3075F" w:rsidP="003F48BC">
            <w:pPr>
              <w:pStyle w:val="Wramce"/>
              <w:spacing w:before="100" w:after="60"/>
              <w:rPr>
                <w:color w:val="000000"/>
              </w:rPr>
            </w:pPr>
            <w:proofErr w:type="spellStart"/>
            <w:r w:rsidRPr="002451CB">
              <w:rPr>
                <w:color w:val="000000"/>
              </w:rPr>
              <w:t>df</w:t>
            </w:r>
            <w:proofErr w:type="spellEnd"/>
          </w:p>
        </w:tc>
        <w:tc>
          <w:tcPr>
            <w:tcW w:w="1496" w:type="dxa"/>
            <w:vMerge w:val="restart"/>
            <w:tcBorders>
              <w:top w:val="single" w:sz="4" w:space="0" w:color="auto"/>
              <w:left w:val="nil"/>
              <w:bottom w:val="single" w:sz="4" w:space="0" w:color="auto"/>
              <w:right w:val="nil"/>
            </w:tcBorders>
          </w:tcPr>
          <w:p w:rsidR="00B3075F" w:rsidRPr="002451CB" w:rsidRDefault="00B3075F" w:rsidP="003F48BC">
            <w:pPr>
              <w:pStyle w:val="Wramce"/>
              <w:spacing w:before="100" w:after="60"/>
              <w:rPr>
                <w:color w:val="000000"/>
              </w:rPr>
            </w:pPr>
            <w:r w:rsidRPr="002451CB">
              <w:rPr>
                <w:color w:val="000000"/>
              </w:rPr>
              <w:t>Istotność (dwustronna)</w:t>
            </w:r>
          </w:p>
        </w:tc>
      </w:tr>
      <w:tr w:rsidR="00B3075F" w:rsidRPr="00B362CB" w:rsidTr="003F48BC">
        <w:trPr>
          <w:trHeight w:val="299"/>
        </w:trPr>
        <w:tc>
          <w:tcPr>
            <w:tcW w:w="1682" w:type="dxa"/>
            <w:vMerge w:val="restart"/>
            <w:tcBorders>
              <w:left w:val="nil"/>
              <w:right w:val="nil"/>
            </w:tcBorders>
          </w:tcPr>
          <w:p w:rsidR="00B3075F" w:rsidRPr="00B362CB" w:rsidRDefault="00B3075F" w:rsidP="003F48BC">
            <w:pPr>
              <w:pStyle w:val="Wramce"/>
              <w:spacing w:before="100" w:after="60"/>
            </w:pPr>
            <w:r>
              <w:rPr>
                <w:color w:val="000000"/>
              </w:rPr>
              <w:t>Kalibracja</w:t>
            </w:r>
          </w:p>
        </w:tc>
        <w:tc>
          <w:tcPr>
            <w:tcW w:w="1687" w:type="dxa"/>
            <w:tcBorders>
              <w:left w:val="nil"/>
              <w:right w:val="nil"/>
            </w:tcBorders>
          </w:tcPr>
          <w:p w:rsidR="00B3075F" w:rsidRPr="00B362CB" w:rsidRDefault="00B3075F" w:rsidP="003F48BC">
            <w:pPr>
              <w:pStyle w:val="Wramce"/>
              <w:spacing w:before="100" w:after="60"/>
            </w:pPr>
            <w:r w:rsidRPr="00B362CB">
              <w:t>gr 1</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30</w:t>
            </w:r>
          </w:p>
        </w:tc>
        <w:tc>
          <w:tcPr>
            <w:tcW w:w="1117" w:type="dxa"/>
            <w:tcBorders>
              <w:left w:val="nil"/>
              <w:right w:val="nil"/>
            </w:tcBorders>
          </w:tcPr>
          <w:p w:rsidR="00B3075F" w:rsidRPr="002451CB" w:rsidRDefault="00B3075F" w:rsidP="003F48BC">
            <w:pPr>
              <w:pStyle w:val="Wramce"/>
              <w:spacing w:before="100" w:after="60"/>
              <w:rPr>
                <w:color w:val="000000"/>
              </w:rPr>
            </w:pPr>
            <w:r>
              <w:rPr>
                <w:color w:val="000000"/>
              </w:rPr>
              <w:t>17</w:t>
            </w:r>
          </w:p>
        </w:tc>
        <w:tc>
          <w:tcPr>
            <w:tcW w:w="876" w:type="dxa"/>
            <w:vMerge w:val="restart"/>
            <w:tcBorders>
              <w:left w:val="nil"/>
              <w:right w:val="nil"/>
            </w:tcBorders>
          </w:tcPr>
          <w:p w:rsidR="00B3075F" w:rsidRPr="002451CB" w:rsidRDefault="00B3075F" w:rsidP="003F48BC">
            <w:pPr>
              <w:pStyle w:val="Wramce"/>
              <w:spacing w:before="100" w:after="60"/>
              <w:rPr>
                <w:color w:val="000000"/>
              </w:rPr>
            </w:pPr>
            <w:r>
              <w:rPr>
                <w:color w:val="000000"/>
              </w:rPr>
              <w:t>38,6</w:t>
            </w:r>
          </w:p>
        </w:tc>
        <w:tc>
          <w:tcPr>
            <w:tcW w:w="934" w:type="dxa"/>
            <w:vMerge w:val="restart"/>
            <w:tcBorders>
              <w:left w:val="nil"/>
              <w:right w:val="nil"/>
            </w:tcBorders>
          </w:tcPr>
          <w:p w:rsidR="00B3075F" w:rsidRPr="002451CB" w:rsidRDefault="00B3075F" w:rsidP="003F48BC">
            <w:pPr>
              <w:pStyle w:val="Wramce"/>
              <w:spacing w:before="100" w:after="60"/>
              <w:rPr>
                <w:color w:val="000000"/>
              </w:rPr>
            </w:pPr>
            <w:r>
              <w:rPr>
                <w:color w:val="000000"/>
              </w:rPr>
              <w:t>2</w:t>
            </w:r>
          </w:p>
        </w:tc>
        <w:tc>
          <w:tcPr>
            <w:tcW w:w="1496" w:type="dxa"/>
            <w:vMerge w:val="restart"/>
            <w:tcBorders>
              <w:left w:val="nil"/>
              <w:right w:val="nil"/>
            </w:tcBorders>
          </w:tcPr>
          <w:p w:rsidR="00B3075F" w:rsidRPr="002451CB" w:rsidRDefault="00B3075F" w:rsidP="003F48BC">
            <w:pPr>
              <w:pStyle w:val="Wramce"/>
              <w:spacing w:before="100" w:after="60"/>
              <w:rPr>
                <w:color w:val="000000"/>
              </w:rPr>
            </w:pPr>
            <w:r>
              <w:rPr>
                <w:color w:val="000000"/>
              </w:rPr>
              <w:t>0,00</w:t>
            </w:r>
          </w:p>
        </w:tc>
      </w:tr>
      <w:tr w:rsidR="00B3075F" w:rsidRPr="00B362CB" w:rsidTr="003F48BC">
        <w:trPr>
          <w:trHeight w:val="299"/>
        </w:trPr>
        <w:tc>
          <w:tcPr>
            <w:tcW w:w="1682" w:type="dxa"/>
            <w:vMerge/>
            <w:tcBorders>
              <w:left w:val="nil"/>
              <w:right w:val="nil"/>
            </w:tcBorders>
          </w:tcPr>
          <w:p w:rsidR="00B3075F" w:rsidRPr="002451CB" w:rsidRDefault="00B3075F" w:rsidP="003F48BC">
            <w:pPr>
              <w:pStyle w:val="Wramce"/>
              <w:spacing w:before="100" w:after="60"/>
              <w:rPr>
                <w:color w:val="000000"/>
              </w:rPr>
            </w:pPr>
          </w:p>
        </w:tc>
        <w:tc>
          <w:tcPr>
            <w:tcW w:w="1687" w:type="dxa"/>
            <w:tcBorders>
              <w:left w:val="nil"/>
              <w:right w:val="nil"/>
            </w:tcBorders>
          </w:tcPr>
          <w:p w:rsidR="00B3075F" w:rsidRPr="00B362CB" w:rsidRDefault="00B3075F" w:rsidP="003F48BC">
            <w:pPr>
              <w:pStyle w:val="Wramce"/>
              <w:spacing w:before="100" w:after="60"/>
            </w:pPr>
            <w:r w:rsidRPr="00B362CB">
              <w:t>gr 2</w:t>
            </w:r>
          </w:p>
        </w:tc>
        <w:tc>
          <w:tcPr>
            <w:tcW w:w="1109" w:type="dxa"/>
            <w:tcBorders>
              <w:left w:val="nil"/>
              <w:right w:val="nil"/>
            </w:tcBorders>
          </w:tcPr>
          <w:p w:rsidR="00B3075F" w:rsidRPr="002451CB" w:rsidRDefault="00B3075F" w:rsidP="003F48BC">
            <w:pPr>
              <w:pStyle w:val="Wramce"/>
              <w:spacing w:before="100" w:after="60"/>
              <w:jc w:val="center"/>
              <w:rPr>
                <w:color w:val="000000"/>
              </w:rPr>
            </w:pPr>
            <w:r>
              <w:rPr>
                <w:color w:val="000000"/>
              </w:rPr>
              <w:t>38</w:t>
            </w:r>
          </w:p>
        </w:tc>
        <w:tc>
          <w:tcPr>
            <w:tcW w:w="1117" w:type="dxa"/>
            <w:tcBorders>
              <w:left w:val="nil"/>
              <w:right w:val="nil"/>
            </w:tcBorders>
          </w:tcPr>
          <w:p w:rsidR="00B3075F" w:rsidRPr="002451CB" w:rsidRDefault="00B3075F" w:rsidP="003F48BC">
            <w:pPr>
              <w:pStyle w:val="Wramce"/>
              <w:spacing w:before="100" w:after="60"/>
              <w:rPr>
                <w:color w:val="000000"/>
              </w:rPr>
            </w:pPr>
            <w:r>
              <w:rPr>
                <w:color w:val="000000"/>
              </w:rPr>
              <w:t>15</w:t>
            </w:r>
          </w:p>
        </w:tc>
        <w:tc>
          <w:tcPr>
            <w:tcW w:w="876" w:type="dxa"/>
            <w:vMerge/>
            <w:tcBorders>
              <w:left w:val="nil"/>
              <w:right w:val="nil"/>
            </w:tcBorders>
          </w:tcPr>
          <w:p w:rsidR="00B3075F" w:rsidRPr="002451CB" w:rsidRDefault="00B3075F" w:rsidP="003F48BC">
            <w:pPr>
              <w:pStyle w:val="Wramce"/>
              <w:spacing w:before="100" w:after="60"/>
              <w:rPr>
                <w:color w:val="000000"/>
              </w:rPr>
            </w:pPr>
          </w:p>
        </w:tc>
        <w:tc>
          <w:tcPr>
            <w:tcW w:w="934" w:type="dxa"/>
            <w:vMerge/>
            <w:tcBorders>
              <w:left w:val="nil"/>
              <w:right w:val="nil"/>
            </w:tcBorders>
          </w:tcPr>
          <w:p w:rsidR="00B3075F" w:rsidRPr="002451CB" w:rsidRDefault="00B3075F" w:rsidP="003F48BC">
            <w:pPr>
              <w:pStyle w:val="Wramce"/>
              <w:spacing w:before="100" w:after="60"/>
              <w:rPr>
                <w:color w:val="000000"/>
              </w:rPr>
            </w:pPr>
          </w:p>
        </w:tc>
        <w:tc>
          <w:tcPr>
            <w:tcW w:w="1496" w:type="dxa"/>
            <w:vMerge/>
            <w:tcBorders>
              <w:left w:val="nil"/>
              <w:right w:val="nil"/>
            </w:tcBorders>
          </w:tcPr>
          <w:p w:rsidR="00B3075F" w:rsidRPr="002451CB" w:rsidRDefault="00B3075F" w:rsidP="003F48BC">
            <w:pPr>
              <w:pStyle w:val="Wramce"/>
              <w:spacing w:before="100" w:after="60"/>
              <w:rPr>
                <w:color w:val="000000"/>
              </w:rPr>
            </w:pPr>
          </w:p>
        </w:tc>
      </w:tr>
    </w:tbl>
    <w:p w:rsidR="00B3075F" w:rsidRDefault="00B3075F" w:rsidP="00B3075F"/>
    <w:p w:rsidR="00B3075F" w:rsidRDefault="00B3075F" w:rsidP="00B3075F">
      <w:r>
        <w:t xml:space="preserve">Porównując deklarowane przez uczniów poczucie kalibracji pokazało, że uczniowie w grupie po odbytym treningu częściej prawidłowo przewidywali czy uda im się rozwiązać zadanie niż w grupie, którą aktywizowano. Wynik ten może świadczyć, że uczniowie, którzy nauczyli się tej umiejętności podczas lekcji byli bardziej wytrwali, częściej posługiwali się różnymi strategiami – mogło to wpłynąć na osiągnięte przez nich rezultaty czyli na rozwiązanie zadania. Nie można tego natomiast powiedzieć o grupie, w której umiejętności </w:t>
      </w:r>
      <w:proofErr w:type="spellStart"/>
      <w:r>
        <w:t>metapoznawcze</w:t>
      </w:r>
      <w:proofErr w:type="spellEnd"/>
      <w:r>
        <w:t xml:space="preserve"> aktywizowano jedynie ankietą. Uczniowie ci prawdopodobnie mieli trudność z prawidłową analizą zadania lub mieli niską znajomości swoich kompetencji. Zastanawia, dlaczego liczna grupa uczniów przeszacowała swoje szanse: Po przeczytaniu zadania uczniowie niesłusznie doszli do wniosku, że potrafią wykonać zadanie, co okazało się nieprawdą. Być może niewłaściwa ocena własnej skuteczności z jednej strony mogła być związana z brakiem umiejętności analizowania zadań czy też brakiem znajomości własnych zasobów umożliwiających osiągnięcie przez uczniów celu czyli rozwiązania problemu (Bandura i </w:t>
      </w:r>
      <w:proofErr w:type="spellStart"/>
      <w:r>
        <w:t>Schunk</w:t>
      </w:r>
      <w:proofErr w:type="spellEnd"/>
      <w:r>
        <w:t xml:space="preserve">, 1981). Wyniki badań wskazują, że uczniowie </w:t>
      </w:r>
      <w:proofErr w:type="spellStart"/>
      <w:r>
        <w:t>wydaja</w:t>
      </w:r>
      <w:proofErr w:type="spellEnd"/>
      <w:r>
        <w:t xml:space="preserve"> się zbyt pewni siebie, kiedy rozwiązują nowe i trudne zadania (</w:t>
      </w:r>
      <w:proofErr w:type="spellStart"/>
      <w:r>
        <w:t>Bjorkman</w:t>
      </w:r>
      <w:proofErr w:type="spellEnd"/>
      <w:r>
        <w:t>, 1992)</w:t>
      </w:r>
    </w:p>
    <w:p w:rsidR="00B3075F" w:rsidRDefault="00B3075F" w:rsidP="00B3075F">
      <w:r>
        <w:t xml:space="preserve">Badanie to potwierdza, że poczucie kalibracji jest ważną funkcją, gdyż uczniowie wiedzą, jak funkcjonują dydaktycznie, jakie mają możliwości („znają swoje miejsce w szeregu”). Uczniowie potrafią ocenić swoje szanse patrząc na zadanie. Szacują wtedy czy mają odpowiednie kompetencje do zmierzenia się z trudnościami. Zgodnie z Bandurą (1996) umiejętność ta wpływa na wytrwałość, zwiększenie wysiłku i poczucie skuteczności. Poczucie własnej skuteczności można odróżnić od „nierealistycznego optymizmu”. Pierwszy związany jest z osiąganiem sukcesu, drugi to brak refleksji nad własnymi możliwościami. Często przeszacowanie możliwości prowadzi do porzucenia próby rozwiązania i znalezienia racjonalnego wytłumaczenia dlaczego nie podjęto się ryzyka w próbach rozwiązania. Tak mogło być w przypadku uczniów aktywizowanych </w:t>
      </w:r>
      <w:proofErr w:type="spellStart"/>
      <w:r>
        <w:t>metapoznawczo</w:t>
      </w:r>
      <w:proofErr w:type="spellEnd"/>
      <w:r>
        <w:t xml:space="preserve"> za pomocą ankiety. Dla uczniów takim wytłumaczeniem mogła być ankieta, którą wypełniali w trakcie rozwiązywania zadania i ten czynnik zewnętrzny mógł spowodować, że w grupie tej nie było sukcesu.</w:t>
      </w:r>
    </w:p>
    <w:p w:rsidR="00B3075F" w:rsidRDefault="00B3075F" w:rsidP="00B3075F">
      <w:pPr>
        <w:pStyle w:val="Heading2"/>
      </w:pPr>
      <w:bookmarkStart w:id="21" w:name="_Toc302846904"/>
      <w:r>
        <w:t xml:space="preserve">Wpływ </w:t>
      </w:r>
      <w:r w:rsidRPr="00F86CE2">
        <w:t xml:space="preserve">kompetencji </w:t>
      </w:r>
      <w:proofErr w:type="spellStart"/>
      <w:r w:rsidRPr="00F86CE2">
        <w:t>metapoznawczych</w:t>
      </w:r>
      <w:proofErr w:type="spellEnd"/>
      <w:r w:rsidRPr="00F86CE2">
        <w:t xml:space="preserve"> </w:t>
      </w:r>
      <w:r>
        <w:t>na</w:t>
      </w:r>
      <w:r w:rsidRPr="00F86CE2">
        <w:t xml:space="preserve"> poziom </w:t>
      </w:r>
      <w:r>
        <w:t>wykonania</w:t>
      </w:r>
      <w:r w:rsidRPr="00F86CE2">
        <w:t xml:space="preserve"> zadań przez uczniów</w:t>
      </w:r>
      <w:bookmarkEnd w:id="21"/>
    </w:p>
    <w:p w:rsidR="00B3075F" w:rsidRDefault="00B3075F" w:rsidP="00B3075F">
      <w:r>
        <w:t>W poszukiwaniu odpowiedzi na pierwszy problem badawczy sformułowano hipotezę H1, ż</w:t>
      </w:r>
      <w:r w:rsidRPr="00F86CE2">
        <w:t xml:space="preserve">e istnieje zależność między kompetencjami </w:t>
      </w:r>
      <w:proofErr w:type="spellStart"/>
      <w:r w:rsidRPr="00F86CE2">
        <w:t>metapoznawczymi</w:t>
      </w:r>
      <w:proofErr w:type="spellEnd"/>
      <w:r w:rsidRPr="00F86CE2">
        <w:t xml:space="preserve"> a sukcesem w</w:t>
      </w:r>
      <w:r>
        <w:t> </w:t>
      </w:r>
      <w:r w:rsidRPr="00F86CE2">
        <w:t xml:space="preserve">rozwiązywaniu zadań. W celu weryfikacji postawionej hipotezy przeprowadzono analizę korelacji nieparametrycznych między </w:t>
      </w:r>
      <w:r>
        <w:t xml:space="preserve">wskaźnikami kompetencji </w:t>
      </w:r>
      <w:proofErr w:type="spellStart"/>
      <w:r>
        <w:t>metapoznawczych</w:t>
      </w:r>
      <w:proofErr w:type="spellEnd"/>
      <w:r>
        <w:t xml:space="preserve"> a osiągniętymi wynikami. </w:t>
      </w:r>
    </w:p>
    <w:p w:rsidR="00B3075F" w:rsidRDefault="00B3075F" w:rsidP="00B3075F">
      <w:r>
        <w:t>Do korelacji wzięto następujące zmienne oznaczające wskaźniki skuteczności w rozwiązywaniu otwartego zadania z fizyki przez ucznia:</w:t>
      </w:r>
    </w:p>
    <w:p w:rsidR="00B3075F" w:rsidRDefault="00B3075F" w:rsidP="00B3075F">
      <w:pPr>
        <w:pStyle w:val="StylPunktowane"/>
      </w:pPr>
      <w:r>
        <w:t>rozwiązanie zadania (najważniejsza zmienna);</w:t>
      </w:r>
    </w:p>
    <w:p w:rsidR="00B3075F" w:rsidRDefault="00B3075F" w:rsidP="00B3075F">
      <w:pPr>
        <w:pStyle w:val="StylPunktowane"/>
      </w:pPr>
      <w:r>
        <w:t>próba rozwiązania zadania;</w:t>
      </w:r>
    </w:p>
    <w:p w:rsidR="00B3075F" w:rsidRDefault="00B3075F" w:rsidP="00B3075F">
      <w:pPr>
        <w:pStyle w:val="StylPunktowane"/>
      </w:pPr>
      <w:r>
        <w:t>wypisanie danych;</w:t>
      </w:r>
    </w:p>
    <w:p w:rsidR="00B3075F" w:rsidRDefault="00B3075F" w:rsidP="00B3075F">
      <w:pPr>
        <w:pStyle w:val="StylPunktowane"/>
      </w:pPr>
      <w:r>
        <w:t>zastosowanie strategii posługiwania się rysunkiem.</w:t>
      </w:r>
    </w:p>
    <w:p w:rsidR="00B3075F" w:rsidRDefault="00B3075F" w:rsidP="00B3075F">
      <w:r>
        <w:t xml:space="preserve">Wśród wymienionych zmiennych najważniejsza jest oczywiście „rozwiązanie zadania” i to związek pomiędzy tą zmienną a wymiarami </w:t>
      </w:r>
      <w:proofErr w:type="spellStart"/>
      <w:r>
        <w:t>metapoznawczymi</w:t>
      </w:r>
      <w:proofErr w:type="spellEnd"/>
      <w:r>
        <w:t xml:space="preserve"> dotyczy hipotezy H1. Pozostałe parametry mają znaczenie uzupełniające, pokazując w jaki sposób uczeń podchodzi do rozwiązania zadania.</w:t>
      </w:r>
    </w:p>
    <w:p w:rsidR="00B3075F" w:rsidRDefault="00B3075F" w:rsidP="00B3075F">
      <w:r>
        <w:t xml:space="preserve">Ze względu na istotne różnice pomiędzy badanymi grupami, opisane w poprzednim podrozdziale, zdecydowano się na oddzielną analizę grup. W Tabeli 5 przedstawiono korelacje pomiędzy kompetencjami </w:t>
      </w:r>
      <w:proofErr w:type="spellStart"/>
      <w:r>
        <w:t>metapoznawczymi</w:t>
      </w:r>
      <w:proofErr w:type="spellEnd"/>
      <w:r>
        <w:t xml:space="preserve"> a osiągniętymi wynikami dla grupy poddanej treningowi poznawczemu (grupa 1)</w:t>
      </w:r>
    </w:p>
    <w:p w:rsidR="00B3075F" w:rsidRDefault="00B3075F" w:rsidP="00B3075F">
      <w:pPr>
        <w:spacing w:line="240" w:lineRule="auto"/>
        <w:ind w:firstLine="0"/>
      </w:pPr>
    </w:p>
    <w:p w:rsidR="00B3075F" w:rsidRDefault="00B3075F" w:rsidP="00B3075F">
      <w:pPr>
        <w:pStyle w:val="PodpisTabeli"/>
      </w:pPr>
      <w:r>
        <w:t>Tabela 5</w:t>
      </w:r>
    </w:p>
    <w:p w:rsidR="00B3075F" w:rsidRPr="00DE3682" w:rsidRDefault="00B3075F" w:rsidP="00B3075F">
      <w:pPr>
        <w:pStyle w:val="PodpisTabeli"/>
        <w:rPr>
          <w:i/>
        </w:rPr>
      </w:pPr>
      <w:r w:rsidRPr="00DE3682">
        <w:rPr>
          <w:i/>
        </w:rPr>
        <w:t xml:space="preserve">Korelacje pomiędzy poziomem kompetencji </w:t>
      </w:r>
      <w:proofErr w:type="spellStart"/>
      <w:r w:rsidRPr="00DE3682">
        <w:rPr>
          <w:i/>
        </w:rPr>
        <w:t>metapoznawczych</w:t>
      </w:r>
      <w:proofErr w:type="spellEnd"/>
      <w:r w:rsidRPr="00DE3682">
        <w:rPr>
          <w:i/>
        </w:rPr>
        <w:t xml:space="preserve">  a wskaźnikami rozwiązania zadania przez uczniów (współczynnik korelacji </w:t>
      </w:r>
      <w:proofErr w:type="spellStart"/>
      <w:r w:rsidRPr="00DE3682">
        <w:rPr>
          <w:i/>
        </w:rPr>
        <w:t>Spearmana</w:t>
      </w:r>
      <w:proofErr w:type="spellEnd"/>
      <w:r w:rsidRPr="000E02ED">
        <w:rPr>
          <w:i/>
        </w:rPr>
        <w:t xml:space="preserve">) </w:t>
      </w:r>
      <w:r>
        <w:rPr>
          <w:i/>
        </w:rPr>
        <w:t>dla g</w:t>
      </w:r>
      <w:r w:rsidRPr="00DE3682">
        <w:rPr>
          <w:i/>
        </w:rPr>
        <w:t>rup</w:t>
      </w:r>
      <w:r>
        <w:rPr>
          <w:i/>
        </w:rPr>
        <w:t xml:space="preserve">y </w:t>
      </w:r>
      <w:r w:rsidRPr="00DE3682">
        <w:rPr>
          <w:i/>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997"/>
        <w:gridCol w:w="1772"/>
        <w:gridCol w:w="1982"/>
        <w:gridCol w:w="1733"/>
      </w:tblGrid>
      <w:tr w:rsidR="00B3075F" w:rsidRPr="002451CB" w:rsidTr="003F48BC">
        <w:tc>
          <w:tcPr>
            <w:tcW w:w="971" w:type="pct"/>
            <w:tcBorders>
              <w:left w:val="nil"/>
              <w:right w:val="nil"/>
            </w:tcBorders>
          </w:tcPr>
          <w:p w:rsidR="00B3075F" w:rsidRPr="002451CB" w:rsidRDefault="00B3075F" w:rsidP="003F48BC">
            <w:pPr>
              <w:pStyle w:val="Wramce"/>
              <w:spacing w:before="100" w:after="60"/>
              <w:jc w:val="center"/>
              <w:rPr>
                <w:sz w:val="22"/>
              </w:rPr>
            </w:pPr>
          </w:p>
        </w:tc>
        <w:tc>
          <w:tcPr>
            <w:tcW w:w="1075" w:type="pct"/>
            <w:tcBorders>
              <w:left w:val="nil"/>
              <w:right w:val="nil"/>
            </w:tcBorders>
          </w:tcPr>
          <w:p w:rsidR="00B3075F" w:rsidRPr="002451CB" w:rsidRDefault="00B3075F" w:rsidP="003F48BC">
            <w:pPr>
              <w:pStyle w:val="Wramce"/>
              <w:spacing w:before="100" w:after="60"/>
              <w:jc w:val="center"/>
              <w:rPr>
                <w:sz w:val="22"/>
              </w:rPr>
            </w:pPr>
            <w:r w:rsidRPr="002451CB">
              <w:rPr>
                <w:sz w:val="22"/>
              </w:rPr>
              <w:t>Zaangażowanie</w:t>
            </w:r>
          </w:p>
        </w:tc>
        <w:tc>
          <w:tcPr>
            <w:tcW w:w="954" w:type="pct"/>
            <w:tcBorders>
              <w:left w:val="nil"/>
              <w:right w:val="nil"/>
            </w:tcBorders>
          </w:tcPr>
          <w:p w:rsidR="00B3075F" w:rsidRPr="002451CB" w:rsidRDefault="00B3075F" w:rsidP="003F48BC">
            <w:pPr>
              <w:pStyle w:val="Wramce"/>
              <w:spacing w:before="100" w:after="60"/>
              <w:jc w:val="center"/>
              <w:rPr>
                <w:sz w:val="22"/>
              </w:rPr>
            </w:pPr>
            <w:r w:rsidRPr="002451CB">
              <w:rPr>
                <w:sz w:val="22"/>
              </w:rPr>
              <w:t>Planowanie</w:t>
            </w:r>
          </w:p>
        </w:tc>
        <w:tc>
          <w:tcPr>
            <w:tcW w:w="1067" w:type="pct"/>
            <w:tcBorders>
              <w:left w:val="nil"/>
              <w:right w:val="nil"/>
            </w:tcBorders>
          </w:tcPr>
          <w:p w:rsidR="00B3075F" w:rsidRPr="002451CB" w:rsidRDefault="00B3075F" w:rsidP="003F48BC">
            <w:pPr>
              <w:pStyle w:val="Wramce"/>
              <w:spacing w:before="100" w:after="60"/>
              <w:jc w:val="center"/>
              <w:rPr>
                <w:sz w:val="22"/>
              </w:rPr>
            </w:pPr>
            <w:r w:rsidRPr="002451CB">
              <w:rPr>
                <w:sz w:val="22"/>
              </w:rPr>
              <w:t>Monitorowanie</w:t>
            </w:r>
          </w:p>
        </w:tc>
        <w:tc>
          <w:tcPr>
            <w:tcW w:w="933" w:type="pct"/>
            <w:tcBorders>
              <w:left w:val="nil"/>
              <w:right w:val="nil"/>
            </w:tcBorders>
          </w:tcPr>
          <w:p w:rsidR="00B3075F" w:rsidRPr="002451CB" w:rsidRDefault="00B3075F" w:rsidP="003F48BC">
            <w:pPr>
              <w:pStyle w:val="Wramce"/>
              <w:spacing w:before="100" w:after="60"/>
              <w:jc w:val="center"/>
              <w:rPr>
                <w:sz w:val="22"/>
              </w:rPr>
            </w:pPr>
            <w:r w:rsidRPr="002451CB">
              <w:rPr>
                <w:sz w:val="22"/>
              </w:rPr>
              <w:t>Ocena</w:t>
            </w:r>
          </w:p>
        </w:tc>
      </w:tr>
      <w:tr w:rsidR="00B3075F" w:rsidRPr="002451CB" w:rsidTr="003F48BC">
        <w:tc>
          <w:tcPr>
            <w:tcW w:w="971" w:type="pct"/>
            <w:tcBorders>
              <w:left w:val="nil"/>
              <w:right w:val="nil"/>
            </w:tcBorders>
          </w:tcPr>
          <w:p w:rsidR="00B3075F" w:rsidRPr="002451CB" w:rsidRDefault="00B3075F" w:rsidP="003F48BC">
            <w:pPr>
              <w:pStyle w:val="Wramce"/>
              <w:spacing w:before="100" w:after="60"/>
              <w:rPr>
                <w:sz w:val="22"/>
              </w:rPr>
            </w:pPr>
            <w:r w:rsidRPr="002451CB">
              <w:rPr>
                <w:sz w:val="22"/>
              </w:rPr>
              <w:t>Rozwiązanie</w:t>
            </w:r>
            <w:r w:rsidRPr="002451CB">
              <w:rPr>
                <w:sz w:val="22"/>
              </w:rPr>
              <w:br/>
              <w:t>zadania</w:t>
            </w:r>
          </w:p>
        </w:tc>
        <w:tc>
          <w:tcPr>
            <w:tcW w:w="1075" w:type="pct"/>
            <w:tcBorders>
              <w:left w:val="nil"/>
              <w:right w:val="nil"/>
            </w:tcBorders>
          </w:tcPr>
          <w:p w:rsidR="00B3075F" w:rsidRPr="002451CB" w:rsidRDefault="00B3075F" w:rsidP="003F48BC">
            <w:pPr>
              <w:pStyle w:val="Wramce"/>
              <w:spacing w:before="100" w:after="60"/>
              <w:jc w:val="center"/>
              <w:rPr>
                <w:sz w:val="22"/>
              </w:rPr>
            </w:pPr>
            <w:r w:rsidRPr="002451CB">
              <w:rPr>
                <w:sz w:val="22"/>
              </w:rPr>
              <w:t>0,4</w:t>
            </w:r>
            <w:r>
              <w:rPr>
                <w:sz w:val="22"/>
              </w:rPr>
              <w:t>6*</w:t>
            </w:r>
          </w:p>
        </w:tc>
        <w:tc>
          <w:tcPr>
            <w:tcW w:w="954" w:type="pct"/>
            <w:tcBorders>
              <w:left w:val="nil"/>
              <w:right w:val="nil"/>
            </w:tcBorders>
          </w:tcPr>
          <w:p w:rsidR="00B3075F" w:rsidRPr="002451CB" w:rsidRDefault="00B3075F" w:rsidP="003F48BC">
            <w:pPr>
              <w:pStyle w:val="Wramce"/>
              <w:spacing w:before="100" w:after="60"/>
              <w:jc w:val="center"/>
              <w:rPr>
                <w:sz w:val="22"/>
              </w:rPr>
            </w:pPr>
            <w:r w:rsidRPr="002451CB">
              <w:rPr>
                <w:sz w:val="22"/>
              </w:rPr>
              <w:t>0,4</w:t>
            </w:r>
            <w:r>
              <w:rPr>
                <w:sz w:val="22"/>
              </w:rPr>
              <w:t>0*</w:t>
            </w:r>
          </w:p>
        </w:tc>
        <w:tc>
          <w:tcPr>
            <w:tcW w:w="1067" w:type="pct"/>
            <w:tcBorders>
              <w:left w:val="nil"/>
              <w:right w:val="nil"/>
            </w:tcBorders>
          </w:tcPr>
          <w:p w:rsidR="00B3075F" w:rsidRPr="002451CB" w:rsidRDefault="00B3075F" w:rsidP="003F48BC">
            <w:pPr>
              <w:pStyle w:val="Wramce"/>
              <w:spacing w:before="100" w:after="60"/>
              <w:jc w:val="center"/>
              <w:rPr>
                <w:sz w:val="22"/>
              </w:rPr>
            </w:pPr>
            <w:r>
              <w:rPr>
                <w:sz w:val="22"/>
              </w:rPr>
              <w:t>0,27</w:t>
            </w:r>
          </w:p>
        </w:tc>
        <w:tc>
          <w:tcPr>
            <w:tcW w:w="933" w:type="pct"/>
            <w:tcBorders>
              <w:left w:val="nil"/>
              <w:right w:val="nil"/>
            </w:tcBorders>
          </w:tcPr>
          <w:p w:rsidR="00B3075F" w:rsidRPr="002451CB" w:rsidRDefault="00B3075F" w:rsidP="003F48BC">
            <w:pPr>
              <w:pStyle w:val="Wramce"/>
              <w:spacing w:before="100" w:after="60"/>
              <w:jc w:val="center"/>
              <w:rPr>
                <w:sz w:val="22"/>
              </w:rPr>
            </w:pPr>
            <w:r>
              <w:rPr>
                <w:sz w:val="22"/>
              </w:rPr>
              <w:t>0,21</w:t>
            </w:r>
          </w:p>
        </w:tc>
      </w:tr>
      <w:tr w:rsidR="00B3075F" w:rsidRPr="002451CB" w:rsidTr="003F48BC">
        <w:tc>
          <w:tcPr>
            <w:tcW w:w="971" w:type="pct"/>
            <w:tcBorders>
              <w:left w:val="nil"/>
              <w:right w:val="nil"/>
            </w:tcBorders>
          </w:tcPr>
          <w:p w:rsidR="00B3075F" w:rsidRPr="002451CB" w:rsidRDefault="00B3075F" w:rsidP="003F48BC">
            <w:pPr>
              <w:pStyle w:val="Wramce"/>
              <w:spacing w:before="100" w:after="60"/>
              <w:rPr>
                <w:sz w:val="22"/>
              </w:rPr>
            </w:pPr>
            <w:r w:rsidRPr="002451CB">
              <w:rPr>
                <w:sz w:val="22"/>
              </w:rPr>
              <w:t>Próba</w:t>
            </w:r>
            <w:r w:rsidRPr="002451CB">
              <w:rPr>
                <w:sz w:val="22"/>
              </w:rPr>
              <w:br/>
              <w:t>rozwiązania</w:t>
            </w:r>
          </w:p>
        </w:tc>
        <w:tc>
          <w:tcPr>
            <w:tcW w:w="1075" w:type="pct"/>
            <w:tcBorders>
              <w:left w:val="nil"/>
              <w:right w:val="nil"/>
            </w:tcBorders>
          </w:tcPr>
          <w:p w:rsidR="00B3075F" w:rsidRPr="002451CB" w:rsidRDefault="00B3075F" w:rsidP="003F48BC">
            <w:pPr>
              <w:pStyle w:val="Wramce"/>
              <w:spacing w:before="100" w:after="60"/>
              <w:jc w:val="center"/>
              <w:rPr>
                <w:sz w:val="22"/>
              </w:rPr>
            </w:pPr>
            <w:r>
              <w:rPr>
                <w:sz w:val="22"/>
              </w:rPr>
              <w:t>-0,18</w:t>
            </w:r>
          </w:p>
        </w:tc>
        <w:tc>
          <w:tcPr>
            <w:tcW w:w="954" w:type="pct"/>
            <w:tcBorders>
              <w:left w:val="nil"/>
              <w:right w:val="nil"/>
            </w:tcBorders>
          </w:tcPr>
          <w:p w:rsidR="00B3075F" w:rsidRPr="002451CB" w:rsidRDefault="00B3075F" w:rsidP="003F48BC">
            <w:pPr>
              <w:pStyle w:val="Wramce"/>
              <w:spacing w:before="100" w:after="60"/>
              <w:jc w:val="center"/>
              <w:rPr>
                <w:sz w:val="22"/>
              </w:rPr>
            </w:pPr>
            <w:r>
              <w:rPr>
                <w:sz w:val="22"/>
              </w:rPr>
              <w:t>-0,17</w:t>
            </w:r>
          </w:p>
        </w:tc>
        <w:tc>
          <w:tcPr>
            <w:tcW w:w="1067" w:type="pct"/>
            <w:tcBorders>
              <w:left w:val="nil"/>
              <w:right w:val="nil"/>
            </w:tcBorders>
          </w:tcPr>
          <w:p w:rsidR="00B3075F" w:rsidRPr="002451CB" w:rsidRDefault="00B3075F" w:rsidP="003F48BC">
            <w:pPr>
              <w:pStyle w:val="Wramce"/>
              <w:spacing w:before="100" w:after="60"/>
              <w:jc w:val="center"/>
              <w:rPr>
                <w:sz w:val="22"/>
              </w:rPr>
            </w:pPr>
            <w:r>
              <w:rPr>
                <w:sz w:val="22"/>
              </w:rPr>
              <w:t>-0,18</w:t>
            </w:r>
          </w:p>
        </w:tc>
        <w:tc>
          <w:tcPr>
            <w:tcW w:w="933" w:type="pct"/>
            <w:tcBorders>
              <w:left w:val="nil"/>
              <w:right w:val="nil"/>
            </w:tcBorders>
          </w:tcPr>
          <w:p w:rsidR="00B3075F" w:rsidRPr="002451CB" w:rsidRDefault="00B3075F" w:rsidP="003F48BC">
            <w:pPr>
              <w:pStyle w:val="Wramce"/>
              <w:spacing w:before="100" w:after="60"/>
              <w:jc w:val="center"/>
              <w:rPr>
                <w:sz w:val="22"/>
              </w:rPr>
            </w:pPr>
            <w:r>
              <w:rPr>
                <w:sz w:val="22"/>
              </w:rPr>
              <w:t>0,22</w:t>
            </w:r>
          </w:p>
        </w:tc>
      </w:tr>
      <w:tr w:rsidR="00B3075F" w:rsidRPr="002451CB" w:rsidTr="003F48BC">
        <w:tc>
          <w:tcPr>
            <w:tcW w:w="971" w:type="pct"/>
            <w:tcBorders>
              <w:left w:val="nil"/>
              <w:right w:val="nil"/>
            </w:tcBorders>
          </w:tcPr>
          <w:p w:rsidR="00B3075F" w:rsidRPr="002451CB" w:rsidRDefault="00B3075F" w:rsidP="003F48BC">
            <w:pPr>
              <w:pStyle w:val="Wramce"/>
              <w:spacing w:before="100" w:after="60"/>
              <w:rPr>
                <w:sz w:val="22"/>
              </w:rPr>
            </w:pPr>
            <w:r w:rsidRPr="002451CB">
              <w:rPr>
                <w:sz w:val="22"/>
              </w:rPr>
              <w:t>Rysunek</w:t>
            </w:r>
          </w:p>
        </w:tc>
        <w:tc>
          <w:tcPr>
            <w:tcW w:w="1075" w:type="pct"/>
            <w:tcBorders>
              <w:left w:val="nil"/>
              <w:right w:val="nil"/>
            </w:tcBorders>
          </w:tcPr>
          <w:p w:rsidR="00B3075F" w:rsidRPr="002451CB" w:rsidRDefault="00B3075F" w:rsidP="003F48BC">
            <w:pPr>
              <w:pStyle w:val="Wramce"/>
              <w:spacing w:before="100" w:after="60"/>
              <w:jc w:val="center"/>
              <w:rPr>
                <w:sz w:val="22"/>
              </w:rPr>
            </w:pPr>
            <w:r>
              <w:rPr>
                <w:sz w:val="22"/>
              </w:rPr>
              <w:t>0,31</w:t>
            </w:r>
          </w:p>
        </w:tc>
        <w:tc>
          <w:tcPr>
            <w:tcW w:w="954" w:type="pct"/>
            <w:tcBorders>
              <w:left w:val="nil"/>
              <w:right w:val="nil"/>
            </w:tcBorders>
          </w:tcPr>
          <w:p w:rsidR="00B3075F" w:rsidRPr="002451CB" w:rsidRDefault="00B3075F" w:rsidP="003F48BC">
            <w:pPr>
              <w:pStyle w:val="Wramce"/>
              <w:spacing w:before="100" w:after="60"/>
              <w:jc w:val="center"/>
              <w:rPr>
                <w:sz w:val="22"/>
              </w:rPr>
            </w:pPr>
            <w:r>
              <w:rPr>
                <w:sz w:val="22"/>
              </w:rPr>
              <w:t>0,47*</w:t>
            </w:r>
          </w:p>
        </w:tc>
        <w:tc>
          <w:tcPr>
            <w:tcW w:w="1067" w:type="pct"/>
            <w:tcBorders>
              <w:left w:val="nil"/>
              <w:right w:val="nil"/>
            </w:tcBorders>
          </w:tcPr>
          <w:p w:rsidR="00B3075F" w:rsidRPr="002451CB" w:rsidRDefault="00B3075F" w:rsidP="003F48BC">
            <w:pPr>
              <w:pStyle w:val="Wramce"/>
              <w:spacing w:before="100" w:after="60"/>
              <w:jc w:val="center"/>
              <w:rPr>
                <w:sz w:val="22"/>
              </w:rPr>
            </w:pPr>
            <w:r>
              <w:rPr>
                <w:sz w:val="22"/>
              </w:rPr>
              <w:t>0,45*</w:t>
            </w:r>
          </w:p>
        </w:tc>
        <w:tc>
          <w:tcPr>
            <w:tcW w:w="933" w:type="pct"/>
            <w:tcBorders>
              <w:left w:val="nil"/>
              <w:right w:val="nil"/>
            </w:tcBorders>
          </w:tcPr>
          <w:p w:rsidR="00B3075F" w:rsidRPr="002451CB" w:rsidRDefault="00B3075F" w:rsidP="003F48BC">
            <w:pPr>
              <w:pStyle w:val="Wramce"/>
              <w:spacing w:before="100" w:after="60"/>
              <w:jc w:val="center"/>
              <w:rPr>
                <w:sz w:val="22"/>
              </w:rPr>
            </w:pPr>
            <w:r>
              <w:rPr>
                <w:sz w:val="22"/>
              </w:rPr>
              <w:t>0,32*</w:t>
            </w:r>
          </w:p>
        </w:tc>
      </w:tr>
      <w:tr w:rsidR="00B3075F" w:rsidRPr="002451CB" w:rsidTr="003F48BC">
        <w:tc>
          <w:tcPr>
            <w:tcW w:w="971" w:type="pct"/>
            <w:tcBorders>
              <w:left w:val="nil"/>
              <w:right w:val="nil"/>
            </w:tcBorders>
          </w:tcPr>
          <w:p w:rsidR="00B3075F" w:rsidRPr="002451CB" w:rsidRDefault="00B3075F" w:rsidP="003F48BC">
            <w:pPr>
              <w:pStyle w:val="Wramce"/>
              <w:spacing w:before="100" w:after="60"/>
              <w:rPr>
                <w:sz w:val="22"/>
              </w:rPr>
            </w:pPr>
            <w:r w:rsidRPr="002451CB">
              <w:rPr>
                <w:sz w:val="22"/>
              </w:rPr>
              <w:t>Wypisanie</w:t>
            </w:r>
            <w:r w:rsidRPr="002451CB">
              <w:rPr>
                <w:sz w:val="22"/>
              </w:rPr>
              <w:br/>
              <w:t>danych</w:t>
            </w:r>
          </w:p>
        </w:tc>
        <w:tc>
          <w:tcPr>
            <w:tcW w:w="1075" w:type="pct"/>
            <w:tcBorders>
              <w:left w:val="nil"/>
              <w:right w:val="nil"/>
            </w:tcBorders>
          </w:tcPr>
          <w:p w:rsidR="00B3075F" w:rsidRPr="002451CB" w:rsidRDefault="00B3075F" w:rsidP="003F48BC">
            <w:pPr>
              <w:pStyle w:val="Wramce"/>
              <w:spacing w:before="100" w:after="60"/>
              <w:jc w:val="center"/>
              <w:rPr>
                <w:sz w:val="22"/>
              </w:rPr>
            </w:pPr>
            <w:r>
              <w:rPr>
                <w:sz w:val="22"/>
              </w:rPr>
              <w:t>-0,18</w:t>
            </w:r>
          </w:p>
        </w:tc>
        <w:tc>
          <w:tcPr>
            <w:tcW w:w="954" w:type="pct"/>
            <w:tcBorders>
              <w:left w:val="nil"/>
              <w:right w:val="nil"/>
            </w:tcBorders>
          </w:tcPr>
          <w:p w:rsidR="00B3075F" w:rsidRPr="002451CB" w:rsidRDefault="00B3075F" w:rsidP="003F48BC">
            <w:pPr>
              <w:pStyle w:val="Wramce"/>
              <w:spacing w:before="100" w:after="60"/>
              <w:jc w:val="center"/>
              <w:rPr>
                <w:sz w:val="22"/>
              </w:rPr>
            </w:pPr>
            <w:r>
              <w:rPr>
                <w:sz w:val="22"/>
              </w:rPr>
              <w:t>-0,17</w:t>
            </w:r>
          </w:p>
        </w:tc>
        <w:tc>
          <w:tcPr>
            <w:tcW w:w="1067" w:type="pct"/>
            <w:tcBorders>
              <w:left w:val="nil"/>
              <w:right w:val="nil"/>
            </w:tcBorders>
          </w:tcPr>
          <w:p w:rsidR="00B3075F" w:rsidRPr="002451CB" w:rsidRDefault="00B3075F" w:rsidP="003F48BC">
            <w:pPr>
              <w:pStyle w:val="Wramce"/>
              <w:spacing w:before="100" w:after="60"/>
              <w:jc w:val="center"/>
              <w:rPr>
                <w:sz w:val="22"/>
              </w:rPr>
            </w:pPr>
            <w:r>
              <w:rPr>
                <w:sz w:val="22"/>
              </w:rPr>
              <w:t>-0,18</w:t>
            </w:r>
          </w:p>
        </w:tc>
        <w:tc>
          <w:tcPr>
            <w:tcW w:w="933" w:type="pct"/>
            <w:tcBorders>
              <w:left w:val="nil"/>
              <w:right w:val="nil"/>
            </w:tcBorders>
          </w:tcPr>
          <w:p w:rsidR="00B3075F" w:rsidRPr="002451CB" w:rsidRDefault="00B3075F" w:rsidP="003F48BC">
            <w:pPr>
              <w:pStyle w:val="Wramce"/>
              <w:spacing w:before="100" w:after="60"/>
              <w:jc w:val="center"/>
              <w:rPr>
                <w:sz w:val="22"/>
              </w:rPr>
            </w:pPr>
            <w:r>
              <w:rPr>
                <w:sz w:val="22"/>
              </w:rPr>
              <w:t>0,22</w:t>
            </w:r>
          </w:p>
        </w:tc>
      </w:tr>
    </w:tbl>
    <w:p w:rsidR="00B3075F" w:rsidRDefault="00B3075F" w:rsidP="00B3075F">
      <w:pPr>
        <w:pStyle w:val="PodpisTabeli"/>
      </w:pPr>
      <w:r>
        <w:t>* p&lt;0,05;  ** p&lt;0,01.</w:t>
      </w:r>
    </w:p>
    <w:p w:rsidR="00B3075F" w:rsidRDefault="00B3075F" w:rsidP="00B3075F">
      <w:pPr>
        <w:ind w:firstLine="0"/>
      </w:pPr>
    </w:p>
    <w:p w:rsidR="00B3075F" w:rsidRDefault="00B3075F" w:rsidP="00B3075F">
      <w:pPr>
        <w:ind w:firstLine="708"/>
      </w:pPr>
      <w:r>
        <w:t xml:space="preserve">Z analizy powyższych macierzy korelacji wynika, że uczniowie, którzy rozwiązali zadanie z powodzeniem mieli wyższe kompetencje </w:t>
      </w:r>
      <w:proofErr w:type="spellStart"/>
      <w:r>
        <w:t>metapoznawcze</w:t>
      </w:r>
      <w:proofErr w:type="spellEnd"/>
      <w:r>
        <w:t xml:space="preserve"> w zakresie </w:t>
      </w:r>
      <w:r w:rsidRPr="00401241">
        <w:rPr>
          <w:i/>
        </w:rPr>
        <w:t>zaangażowania</w:t>
      </w:r>
      <w:r>
        <w:t xml:space="preserve">, </w:t>
      </w:r>
      <w:r w:rsidRPr="00401241">
        <w:rPr>
          <w:i/>
        </w:rPr>
        <w:t>planowania</w:t>
      </w:r>
      <w:r>
        <w:t xml:space="preserve">. Oznacza to, że uczeń charakteryzujący się umiejętnością dochodzenia do znaczenia treści zadania czy organizacji swej pracy lepiej radzi sobie z rozwiązaniem problemu. Nie wykazano związku między rozwiązaniem zadania a wskaźnikiem kompetencji </w:t>
      </w:r>
      <w:proofErr w:type="spellStart"/>
      <w:r>
        <w:t>metapoznawczych</w:t>
      </w:r>
      <w:proofErr w:type="spellEnd"/>
      <w:r>
        <w:t xml:space="preserve"> </w:t>
      </w:r>
      <w:r w:rsidRPr="00401241">
        <w:rPr>
          <w:i/>
        </w:rPr>
        <w:t>monitorowani</w:t>
      </w:r>
      <w:r>
        <w:rPr>
          <w:i/>
        </w:rPr>
        <w:t>a</w:t>
      </w:r>
      <w:r>
        <w:t xml:space="preserve"> i </w:t>
      </w:r>
      <w:r>
        <w:rPr>
          <w:i/>
        </w:rPr>
        <w:t>oceny</w:t>
      </w:r>
      <w:r>
        <w:t>. Jak widać wyniki częściowo potwierdzają hipotezę H1.</w:t>
      </w:r>
    </w:p>
    <w:p w:rsidR="00B3075F" w:rsidRDefault="00B3075F" w:rsidP="00B3075F">
      <w:pPr>
        <w:ind w:firstLine="708"/>
      </w:pPr>
      <w:r>
        <w:t xml:space="preserve">Brak wyraźnego związku pomiędzy kompetencjami </w:t>
      </w:r>
      <w:r w:rsidRPr="00062958">
        <w:rPr>
          <w:i/>
        </w:rPr>
        <w:t>monitorowania</w:t>
      </w:r>
      <w:r>
        <w:t xml:space="preserve"> i </w:t>
      </w:r>
      <w:r>
        <w:rPr>
          <w:i/>
        </w:rPr>
        <w:t>oceny</w:t>
      </w:r>
      <w:r>
        <w:t xml:space="preserve"> a sukcesem w rozwiązywaniu zadania jest zaskakujący i nie pozwala pozytywnie zweryfikować hipotezy mówiącej o zależności tych dwóch wskaźników z sukcesem w rozwiązywaniu problemów. Według Tobiasa i Eversona (2002) to właśnie umiejętność monitorowania jest warunkiem wstępnym do aktywacji innych kompetencji </w:t>
      </w:r>
      <w:proofErr w:type="spellStart"/>
      <w:r>
        <w:t>metapoznawczych</w:t>
      </w:r>
      <w:proofErr w:type="spellEnd"/>
      <w:r>
        <w:t xml:space="preserve"> i jest uznawane za podstawową umiejętność </w:t>
      </w:r>
      <w:proofErr w:type="spellStart"/>
      <w:r>
        <w:t>metapoznawczą</w:t>
      </w:r>
      <w:proofErr w:type="spellEnd"/>
      <w:r>
        <w:t xml:space="preserve"> warunkującą sukces. Prawdopodobnie uczniowie deklarowani umiejętność skupienia uwagi na ważnych informacjach, narysowania problemu czy też rozbicia zadania na mniejsze części i próby rozwiązania zadania jeszcze raz w przypadku braku powodzenia –  potwierdzali pozytywnie stwierdzenia wchodzące w skład umiejętności monitorowania jednak nie potrafili rozwiązać zadania otwartego</w:t>
      </w:r>
      <w:r w:rsidRPr="00411C32">
        <w:t xml:space="preserve">. </w:t>
      </w:r>
      <w:r>
        <w:t>Wspomniane umiejętności są już dość skomplikowane i ze względu na ich słabe opanowanie, odpowiedzi na pytania formularza mogły zostać nieprawidłowo zrozumiane.</w:t>
      </w:r>
    </w:p>
    <w:p w:rsidR="00B3075F" w:rsidRPr="00224D26" w:rsidRDefault="00B3075F" w:rsidP="00B3075F">
      <w:r>
        <w:t xml:space="preserve">Słowa komentarza wymagają inne wyniki osiągnięte przez uczniów. Przede wszystkim zmienna </w:t>
      </w:r>
      <w:r w:rsidRPr="0087396A">
        <w:rPr>
          <w:i/>
        </w:rPr>
        <w:t>rysunek</w:t>
      </w:r>
      <w:r>
        <w:t xml:space="preserve"> jest dość dobrze skorelowana z deklarowanymi umiejętnościami </w:t>
      </w:r>
      <w:proofErr w:type="spellStart"/>
      <w:r>
        <w:t>metapoznawczymi</w:t>
      </w:r>
      <w:proofErr w:type="spellEnd"/>
      <w:r>
        <w:t xml:space="preserve"> – nawet wskaźnik </w:t>
      </w:r>
      <w:r w:rsidRPr="00411C32">
        <w:rPr>
          <w:i/>
        </w:rPr>
        <w:t>zaangażowanie</w:t>
      </w:r>
      <w:r>
        <w:t xml:space="preserve"> ma dość dużą wartość, choć nie jest on istotny statystycznie. Ta dobra zgodność, wskazuje, że uczniowie umieli posługiwać się rysunkiem i wykorzystywać go poprzez strategie </w:t>
      </w:r>
      <w:proofErr w:type="spellStart"/>
      <w:r>
        <w:t>metapoznawcze</w:t>
      </w:r>
      <w:proofErr w:type="spellEnd"/>
      <w:r>
        <w:t xml:space="preserve">. Niska korelacja (wartość bliska 0) dla zmiennych </w:t>
      </w:r>
      <w:r w:rsidRPr="00224D26">
        <w:rPr>
          <w:i/>
        </w:rPr>
        <w:t>wypisanie danych</w:t>
      </w:r>
      <w:r>
        <w:t xml:space="preserve"> i </w:t>
      </w:r>
      <w:r w:rsidRPr="00224D26">
        <w:rPr>
          <w:i/>
        </w:rPr>
        <w:t>próba rozwiązania</w:t>
      </w:r>
      <w:r>
        <w:t xml:space="preserve"> wynika z tego, że prawie wszyscy członkowie grupy 1 wypisali dane i próbowali rozwiązać zadanie. Uczniowie, którzy przeszli trening </w:t>
      </w:r>
      <w:proofErr w:type="spellStart"/>
      <w:r>
        <w:t>metapoznawczy</w:t>
      </w:r>
      <w:proofErr w:type="spellEnd"/>
      <w:r>
        <w:t xml:space="preserve"> wiedzą, że wypisanie danych czy jakakolwiek próba rozwiązania nic ich nie kosztuje, a wspomaga rozwiązanie zadania (tego co jest napisane potrzeba wciąż trzymać w pamięci, można użyć swych zasobów do innych czynności)</w:t>
      </w:r>
    </w:p>
    <w:p w:rsidR="00B3075F" w:rsidRPr="00B5084D" w:rsidRDefault="00B3075F" w:rsidP="00B3075F">
      <w:r>
        <w:t xml:space="preserve">W przypadku grupy drugiej jedynymi statystycznie istotnymi korelacjami są: zależność pomiędzy wskaźnikiem </w:t>
      </w:r>
      <w:r w:rsidRPr="00010EB0">
        <w:rPr>
          <w:i/>
        </w:rPr>
        <w:t>ocena</w:t>
      </w:r>
      <w:r>
        <w:t xml:space="preserve"> a rozwiązaniem zadania i wypisaniem danych, oraz między parametrem </w:t>
      </w:r>
      <w:r w:rsidRPr="00010EB0">
        <w:rPr>
          <w:i/>
        </w:rPr>
        <w:t>monitorowanie</w:t>
      </w:r>
      <w:r>
        <w:t xml:space="preserve"> a próba rozwiązania. Wyniki szczegółowe przedstawiono w Tabeli 6</w:t>
      </w:r>
    </w:p>
    <w:p w:rsidR="00B3075F" w:rsidRDefault="00B3075F" w:rsidP="00B3075F">
      <w:pPr>
        <w:pStyle w:val="PodpisTabeli"/>
      </w:pPr>
      <w:r>
        <w:t>Tabela 6</w:t>
      </w:r>
    </w:p>
    <w:p w:rsidR="00B3075F" w:rsidRPr="00DE3682" w:rsidRDefault="00B3075F" w:rsidP="00B3075F">
      <w:pPr>
        <w:pStyle w:val="PodpisTabeli"/>
        <w:rPr>
          <w:i/>
        </w:rPr>
      </w:pPr>
      <w:r w:rsidRPr="00DE3682">
        <w:rPr>
          <w:i/>
        </w:rPr>
        <w:t>Korelacje pomiędzy poziomem komp</w:t>
      </w:r>
      <w:r>
        <w:rPr>
          <w:i/>
        </w:rPr>
        <w:t xml:space="preserve">etencji </w:t>
      </w:r>
      <w:proofErr w:type="spellStart"/>
      <w:r>
        <w:rPr>
          <w:i/>
        </w:rPr>
        <w:t>metapoznawczych</w:t>
      </w:r>
      <w:proofErr w:type="spellEnd"/>
      <w:r w:rsidRPr="00DE3682">
        <w:rPr>
          <w:i/>
        </w:rPr>
        <w:t xml:space="preserve"> a wskaźnikami rozwiązania zadania przez uczniów (współczynnik korelacji </w:t>
      </w:r>
      <w:proofErr w:type="spellStart"/>
      <w:r w:rsidRPr="00DE3682">
        <w:rPr>
          <w:i/>
        </w:rPr>
        <w:t>Spearmana</w:t>
      </w:r>
      <w:proofErr w:type="spellEnd"/>
      <w:r w:rsidRPr="00DE3682">
        <w:rPr>
          <w:i/>
        </w:rPr>
        <w:t xml:space="preserve">) </w:t>
      </w:r>
      <w:r>
        <w:rPr>
          <w:i/>
        </w:rPr>
        <w:t>dla g</w:t>
      </w:r>
      <w:r w:rsidRPr="00DE3682">
        <w:rPr>
          <w:i/>
        </w:rPr>
        <w:t>rup</w:t>
      </w:r>
      <w:r>
        <w:rPr>
          <w:i/>
        </w:rPr>
        <w:t>y 2</w:t>
      </w: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04"/>
        <w:gridCol w:w="1997"/>
        <w:gridCol w:w="1772"/>
        <w:gridCol w:w="1982"/>
        <w:gridCol w:w="1733"/>
      </w:tblGrid>
      <w:tr w:rsidR="00B3075F" w:rsidRPr="002451CB" w:rsidTr="003F48BC">
        <w:tc>
          <w:tcPr>
            <w:tcW w:w="971" w:type="pct"/>
            <w:tcBorders>
              <w:left w:val="nil"/>
              <w:right w:val="nil"/>
            </w:tcBorders>
          </w:tcPr>
          <w:p w:rsidR="00B3075F" w:rsidRPr="002451CB" w:rsidRDefault="00B3075F" w:rsidP="003F48BC">
            <w:pPr>
              <w:pStyle w:val="Wramce"/>
              <w:spacing w:before="100" w:after="60"/>
              <w:jc w:val="center"/>
              <w:rPr>
                <w:sz w:val="22"/>
              </w:rPr>
            </w:pPr>
          </w:p>
        </w:tc>
        <w:tc>
          <w:tcPr>
            <w:tcW w:w="1075" w:type="pct"/>
            <w:tcBorders>
              <w:left w:val="nil"/>
              <w:right w:val="nil"/>
            </w:tcBorders>
          </w:tcPr>
          <w:p w:rsidR="00B3075F" w:rsidRPr="002451CB" w:rsidRDefault="00B3075F" w:rsidP="003F48BC">
            <w:pPr>
              <w:pStyle w:val="Wramce"/>
              <w:spacing w:before="100" w:after="60"/>
              <w:jc w:val="center"/>
              <w:rPr>
                <w:sz w:val="22"/>
              </w:rPr>
            </w:pPr>
            <w:r w:rsidRPr="002451CB">
              <w:rPr>
                <w:sz w:val="22"/>
              </w:rPr>
              <w:t>Zaangażowanie</w:t>
            </w:r>
          </w:p>
        </w:tc>
        <w:tc>
          <w:tcPr>
            <w:tcW w:w="954" w:type="pct"/>
            <w:tcBorders>
              <w:left w:val="nil"/>
              <w:right w:val="nil"/>
            </w:tcBorders>
          </w:tcPr>
          <w:p w:rsidR="00B3075F" w:rsidRPr="002451CB" w:rsidRDefault="00B3075F" w:rsidP="003F48BC">
            <w:pPr>
              <w:pStyle w:val="Wramce"/>
              <w:spacing w:before="100" w:after="60"/>
              <w:jc w:val="center"/>
              <w:rPr>
                <w:sz w:val="22"/>
              </w:rPr>
            </w:pPr>
            <w:r w:rsidRPr="002451CB">
              <w:rPr>
                <w:sz w:val="22"/>
              </w:rPr>
              <w:t>Planowanie</w:t>
            </w:r>
          </w:p>
        </w:tc>
        <w:tc>
          <w:tcPr>
            <w:tcW w:w="1067" w:type="pct"/>
            <w:tcBorders>
              <w:left w:val="nil"/>
              <w:right w:val="nil"/>
            </w:tcBorders>
          </w:tcPr>
          <w:p w:rsidR="00B3075F" w:rsidRPr="002451CB" w:rsidRDefault="00B3075F" w:rsidP="003F48BC">
            <w:pPr>
              <w:pStyle w:val="Wramce"/>
              <w:spacing w:before="100" w:after="60"/>
              <w:jc w:val="center"/>
              <w:rPr>
                <w:sz w:val="22"/>
              </w:rPr>
            </w:pPr>
            <w:r w:rsidRPr="002451CB">
              <w:rPr>
                <w:sz w:val="22"/>
              </w:rPr>
              <w:t>Monitorowanie</w:t>
            </w:r>
          </w:p>
        </w:tc>
        <w:tc>
          <w:tcPr>
            <w:tcW w:w="933" w:type="pct"/>
            <w:tcBorders>
              <w:left w:val="nil"/>
            </w:tcBorders>
          </w:tcPr>
          <w:p w:rsidR="00B3075F" w:rsidRPr="002451CB" w:rsidRDefault="00B3075F" w:rsidP="003F48BC">
            <w:pPr>
              <w:pStyle w:val="Wramce"/>
              <w:spacing w:before="100" w:after="60"/>
              <w:jc w:val="center"/>
              <w:rPr>
                <w:sz w:val="22"/>
              </w:rPr>
            </w:pPr>
            <w:r w:rsidRPr="002451CB">
              <w:rPr>
                <w:sz w:val="22"/>
              </w:rPr>
              <w:t>Ocena</w:t>
            </w:r>
          </w:p>
        </w:tc>
      </w:tr>
      <w:tr w:rsidR="00B3075F" w:rsidRPr="002451CB" w:rsidTr="003F48BC">
        <w:tc>
          <w:tcPr>
            <w:tcW w:w="971" w:type="pct"/>
            <w:tcBorders>
              <w:left w:val="nil"/>
              <w:right w:val="nil"/>
            </w:tcBorders>
          </w:tcPr>
          <w:p w:rsidR="00B3075F" w:rsidRPr="002451CB" w:rsidRDefault="00B3075F" w:rsidP="003F48BC">
            <w:pPr>
              <w:pStyle w:val="Wramce"/>
              <w:spacing w:before="100" w:after="60"/>
              <w:rPr>
                <w:sz w:val="22"/>
              </w:rPr>
            </w:pPr>
            <w:r w:rsidRPr="002451CB">
              <w:rPr>
                <w:sz w:val="22"/>
              </w:rPr>
              <w:t>Rozwiązanie</w:t>
            </w:r>
            <w:r w:rsidRPr="002451CB">
              <w:rPr>
                <w:sz w:val="22"/>
              </w:rPr>
              <w:br/>
              <w:t>zadania</w:t>
            </w:r>
          </w:p>
        </w:tc>
        <w:tc>
          <w:tcPr>
            <w:tcW w:w="1075" w:type="pct"/>
            <w:tcBorders>
              <w:left w:val="nil"/>
              <w:right w:val="nil"/>
            </w:tcBorders>
          </w:tcPr>
          <w:p w:rsidR="00B3075F" w:rsidRPr="002451CB" w:rsidRDefault="00B3075F" w:rsidP="003F48BC">
            <w:pPr>
              <w:pStyle w:val="Wramce"/>
              <w:spacing w:before="100" w:after="60"/>
              <w:jc w:val="center"/>
              <w:rPr>
                <w:sz w:val="22"/>
              </w:rPr>
            </w:pPr>
            <w:r w:rsidRPr="002451CB">
              <w:rPr>
                <w:sz w:val="22"/>
              </w:rPr>
              <w:t>0,</w:t>
            </w:r>
            <w:r>
              <w:rPr>
                <w:sz w:val="22"/>
              </w:rPr>
              <w:t>20</w:t>
            </w:r>
          </w:p>
        </w:tc>
        <w:tc>
          <w:tcPr>
            <w:tcW w:w="954" w:type="pct"/>
            <w:tcBorders>
              <w:left w:val="nil"/>
              <w:right w:val="nil"/>
            </w:tcBorders>
          </w:tcPr>
          <w:p w:rsidR="00B3075F" w:rsidRPr="002451CB" w:rsidRDefault="00B3075F" w:rsidP="003F48BC">
            <w:pPr>
              <w:pStyle w:val="Wramce"/>
              <w:spacing w:before="100" w:after="60"/>
              <w:jc w:val="center"/>
              <w:rPr>
                <w:sz w:val="22"/>
              </w:rPr>
            </w:pPr>
            <w:r w:rsidRPr="002451CB">
              <w:rPr>
                <w:sz w:val="22"/>
              </w:rPr>
              <w:t>0,</w:t>
            </w:r>
            <w:r>
              <w:rPr>
                <w:sz w:val="22"/>
              </w:rPr>
              <w:t>22</w:t>
            </w:r>
          </w:p>
        </w:tc>
        <w:tc>
          <w:tcPr>
            <w:tcW w:w="1067" w:type="pct"/>
            <w:tcBorders>
              <w:left w:val="nil"/>
              <w:right w:val="nil"/>
            </w:tcBorders>
          </w:tcPr>
          <w:p w:rsidR="00B3075F" w:rsidRPr="002451CB" w:rsidRDefault="00B3075F" w:rsidP="003F48BC">
            <w:pPr>
              <w:pStyle w:val="Wramce"/>
              <w:spacing w:before="100" w:after="60"/>
              <w:jc w:val="center"/>
              <w:rPr>
                <w:sz w:val="22"/>
              </w:rPr>
            </w:pPr>
            <w:r>
              <w:rPr>
                <w:sz w:val="22"/>
              </w:rPr>
              <w:t>0,16</w:t>
            </w:r>
          </w:p>
        </w:tc>
        <w:tc>
          <w:tcPr>
            <w:tcW w:w="933" w:type="pct"/>
            <w:tcBorders>
              <w:left w:val="nil"/>
            </w:tcBorders>
          </w:tcPr>
          <w:p w:rsidR="00B3075F" w:rsidRPr="002451CB" w:rsidRDefault="00B3075F" w:rsidP="003F48BC">
            <w:pPr>
              <w:pStyle w:val="Wramce"/>
              <w:spacing w:before="100" w:after="60"/>
              <w:jc w:val="center"/>
              <w:rPr>
                <w:sz w:val="22"/>
              </w:rPr>
            </w:pPr>
            <w:r>
              <w:rPr>
                <w:sz w:val="22"/>
              </w:rPr>
              <w:t>0,36*</w:t>
            </w:r>
          </w:p>
        </w:tc>
      </w:tr>
      <w:tr w:rsidR="00B3075F" w:rsidRPr="002451CB" w:rsidTr="003F48BC">
        <w:tc>
          <w:tcPr>
            <w:tcW w:w="971" w:type="pct"/>
            <w:tcBorders>
              <w:left w:val="nil"/>
              <w:right w:val="nil"/>
            </w:tcBorders>
          </w:tcPr>
          <w:p w:rsidR="00B3075F" w:rsidRPr="002451CB" w:rsidRDefault="00B3075F" w:rsidP="003F48BC">
            <w:pPr>
              <w:pStyle w:val="Wramce"/>
              <w:spacing w:before="100" w:after="60"/>
              <w:rPr>
                <w:sz w:val="22"/>
              </w:rPr>
            </w:pPr>
            <w:r w:rsidRPr="002451CB">
              <w:rPr>
                <w:sz w:val="22"/>
              </w:rPr>
              <w:t>Próba</w:t>
            </w:r>
            <w:r w:rsidRPr="002451CB">
              <w:rPr>
                <w:sz w:val="22"/>
              </w:rPr>
              <w:br/>
              <w:t>rozwiązania</w:t>
            </w:r>
          </w:p>
        </w:tc>
        <w:tc>
          <w:tcPr>
            <w:tcW w:w="1075" w:type="pct"/>
            <w:tcBorders>
              <w:left w:val="nil"/>
              <w:right w:val="nil"/>
            </w:tcBorders>
          </w:tcPr>
          <w:p w:rsidR="00B3075F" w:rsidRPr="002451CB" w:rsidRDefault="00B3075F" w:rsidP="003F48BC">
            <w:pPr>
              <w:pStyle w:val="Wramce"/>
              <w:spacing w:before="100" w:after="60"/>
              <w:jc w:val="center"/>
              <w:rPr>
                <w:sz w:val="22"/>
              </w:rPr>
            </w:pPr>
            <w:r>
              <w:rPr>
                <w:sz w:val="22"/>
              </w:rPr>
              <w:t>0,02</w:t>
            </w:r>
          </w:p>
        </w:tc>
        <w:tc>
          <w:tcPr>
            <w:tcW w:w="954" w:type="pct"/>
            <w:tcBorders>
              <w:left w:val="nil"/>
              <w:right w:val="nil"/>
            </w:tcBorders>
          </w:tcPr>
          <w:p w:rsidR="00B3075F" w:rsidRPr="002451CB" w:rsidRDefault="00B3075F" w:rsidP="003F48BC">
            <w:pPr>
              <w:pStyle w:val="Wramce"/>
              <w:spacing w:before="100" w:after="60"/>
              <w:jc w:val="center"/>
              <w:rPr>
                <w:sz w:val="22"/>
              </w:rPr>
            </w:pPr>
            <w:r>
              <w:rPr>
                <w:sz w:val="22"/>
              </w:rPr>
              <w:t>0,07</w:t>
            </w:r>
          </w:p>
        </w:tc>
        <w:tc>
          <w:tcPr>
            <w:tcW w:w="1067" w:type="pct"/>
            <w:tcBorders>
              <w:left w:val="nil"/>
              <w:right w:val="nil"/>
            </w:tcBorders>
          </w:tcPr>
          <w:p w:rsidR="00B3075F" w:rsidRPr="002451CB" w:rsidRDefault="00B3075F" w:rsidP="003F48BC">
            <w:pPr>
              <w:pStyle w:val="Wramce"/>
              <w:spacing w:before="100" w:after="60"/>
              <w:jc w:val="center"/>
              <w:rPr>
                <w:sz w:val="22"/>
              </w:rPr>
            </w:pPr>
            <w:r>
              <w:rPr>
                <w:sz w:val="22"/>
              </w:rPr>
              <w:t>0,40*</w:t>
            </w:r>
          </w:p>
        </w:tc>
        <w:tc>
          <w:tcPr>
            <w:tcW w:w="933" w:type="pct"/>
            <w:tcBorders>
              <w:left w:val="nil"/>
            </w:tcBorders>
          </w:tcPr>
          <w:p w:rsidR="00B3075F" w:rsidRPr="002451CB" w:rsidRDefault="00B3075F" w:rsidP="003F48BC">
            <w:pPr>
              <w:pStyle w:val="Wramce"/>
              <w:spacing w:before="100" w:after="60"/>
              <w:jc w:val="center"/>
              <w:rPr>
                <w:sz w:val="22"/>
              </w:rPr>
            </w:pPr>
            <w:r>
              <w:rPr>
                <w:sz w:val="22"/>
              </w:rPr>
              <w:t>0,27</w:t>
            </w:r>
          </w:p>
        </w:tc>
      </w:tr>
      <w:tr w:rsidR="00B3075F" w:rsidRPr="002451CB" w:rsidTr="003F48BC">
        <w:tc>
          <w:tcPr>
            <w:tcW w:w="971" w:type="pct"/>
            <w:tcBorders>
              <w:left w:val="nil"/>
              <w:right w:val="nil"/>
            </w:tcBorders>
          </w:tcPr>
          <w:p w:rsidR="00B3075F" w:rsidRPr="002451CB" w:rsidRDefault="00B3075F" w:rsidP="003F48BC">
            <w:pPr>
              <w:pStyle w:val="Wramce"/>
              <w:spacing w:before="100" w:after="60"/>
              <w:rPr>
                <w:sz w:val="22"/>
              </w:rPr>
            </w:pPr>
            <w:r w:rsidRPr="002451CB">
              <w:rPr>
                <w:sz w:val="22"/>
              </w:rPr>
              <w:t>Rysunek</w:t>
            </w:r>
          </w:p>
        </w:tc>
        <w:tc>
          <w:tcPr>
            <w:tcW w:w="1075" w:type="pct"/>
            <w:tcBorders>
              <w:left w:val="nil"/>
              <w:right w:val="nil"/>
            </w:tcBorders>
          </w:tcPr>
          <w:p w:rsidR="00B3075F" w:rsidRPr="002451CB" w:rsidRDefault="00B3075F" w:rsidP="003F48BC">
            <w:pPr>
              <w:pStyle w:val="Wramce"/>
              <w:spacing w:before="100" w:after="60"/>
              <w:jc w:val="center"/>
              <w:rPr>
                <w:sz w:val="22"/>
              </w:rPr>
            </w:pPr>
            <w:r>
              <w:rPr>
                <w:sz w:val="22"/>
              </w:rPr>
              <w:t>0,12</w:t>
            </w:r>
          </w:p>
        </w:tc>
        <w:tc>
          <w:tcPr>
            <w:tcW w:w="954" w:type="pct"/>
            <w:tcBorders>
              <w:left w:val="nil"/>
              <w:right w:val="nil"/>
            </w:tcBorders>
          </w:tcPr>
          <w:p w:rsidR="00B3075F" w:rsidRPr="002451CB" w:rsidRDefault="00B3075F" w:rsidP="003F48BC">
            <w:pPr>
              <w:pStyle w:val="Wramce"/>
              <w:spacing w:before="100" w:after="60"/>
              <w:jc w:val="center"/>
              <w:rPr>
                <w:sz w:val="22"/>
              </w:rPr>
            </w:pPr>
            <w:r>
              <w:rPr>
                <w:sz w:val="22"/>
              </w:rPr>
              <w:t>0,174</w:t>
            </w:r>
          </w:p>
        </w:tc>
        <w:tc>
          <w:tcPr>
            <w:tcW w:w="1067" w:type="pct"/>
            <w:tcBorders>
              <w:left w:val="nil"/>
              <w:right w:val="nil"/>
            </w:tcBorders>
          </w:tcPr>
          <w:p w:rsidR="00B3075F" w:rsidRPr="002451CB" w:rsidRDefault="00B3075F" w:rsidP="003F48BC">
            <w:pPr>
              <w:pStyle w:val="Wramce"/>
              <w:spacing w:before="100" w:after="60"/>
              <w:jc w:val="center"/>
              <w:rPr>
                <w:sz w:val="22"/>
              </w:rPr>
            </w:pPr>
            <w:r>
              <w:rPr>
                <w:sz w:val="22"/>
              </w:rPr>
              <w:t>0,16</w:t>
            </w:r>
          </w:p>
        </w:tc>
        <w:tc>
          <w:tcPr>
            <w:tcW w:w="933" w:type="pct"/>
            <w:tcBorders>
              <w:left w:val="nil"/>
            </w:tcBorders>
          </w:tcPr>
          <w:p w:rsidR="00B3075F" w:rsidRPr="002451CB" w:rsidRDefault="00B3075F" w:rsidP="003F48BC">
            <w:pPr>
              <w:pStyle w:val="Wramce"/>
              <w:spacing w:before="100" w:after="60"/>
              <w:jc w:val="center"/>
              <w:rPr>
                <w:sz w:val="22"/>
              </w:rPr>
            </w:pPr>
            <w:r>
              <w:rPr>
                <w:sz w:val="22"/>
              </w:rPr>
              <w:t>0,18</w:t>
            </w:r>
          </w:p>
        </w:tc>
      </w:tr>
      <w:tr w:rsidR="00B3075F" w:rsidRPr="002451CB" w:rsidTr="003F48BC">
        <w:tc>
          <w:tcPr>
            <w:tcW w:w="971" w:type="pct"/>
            <w:tcBorders>
              <w:left w:val="nil"/>
              <w:right w:val="nil"/>
            </w:tcBorders>
          </w:tcPr>
          <w:p w:rsidR="00B3075F" w:rsidRPr="002451CB" w:rsidRDefault="00B3075F" w:rsidP="003F48BC">
            <w:pPr>
              <w:pStyle w:val="Wramce"/>
              <w:spacing w:before="100" w:after="60"/>
              <w:rPr>
                <w:sz w:val="22"/>
              </w:rPr>
            </w:pPr>
            <w:r w:rsidRPr="002451CB">
              <w:rPr>
                <w:sz w:val="22"/>
              </w:rPr>
              <w:t>Wypisanie</w:t>
            </w:r>
            <w:r w:rsidRPr="002451CB">
              <w:rPr>
                <w:sz w:val="22"/>
              </w:rPr>
              <w:br/>
              <w:t>danych</w:t>
            </w:r>
          </w:p>
        </w:tc>
        <w:tc>
          <w:tcPr>
            <w:tcW w:w="1075" w:type="pct"/>
            <w:tcBorders>
              <w:left w:val="nil"/>
              <w:right w:val="nil"/>
            </w:tcBorders>
          </w:tcPr>
          <w:p w:rsidR="00B3075F" w:rsidRPr="002451CB" w:rsidRDefault="00B3075F" w:rsidP="003F48BC">
            <w:pPr>
              <w:pStyle w:val="Wramce"/>
              <w:spacing w:before="100" w:after="60"/>
              <w:jc w:val="center"/>
              <w:rPr>
                <w:sz w:val="22"/>
              </w:rPr>
            </w:pPr>
            <w:r>
              <w:rPr>
                <w:sz w:val="22"/>
              </w:rPr>
              <w:t>-0,01</w:t>
            </w:r>
          </w:p>
        </w:tc>
        <w:tc>
          <w:tcPr>
            <w:tcW w:w="954" w:type="pct"/>
            <w:tcBorders>
              <w:left w:val="nil"/>
              <w:right w:val="nil"/>
            </w:tcBorders>
          </w:tcPr>
          <w:p w:rsidR="00B3075F" w:rsidRPr="002451CB" w:rsidRDefault="00B3075F" w:rsidP="003F48BC">
            <w:pPr>
              <w:pStyle w:val="Wramce"/>
              <w:spacing w:before="100" w:after="60"/>
              <w:jc w:val="center"/>
              <w:rPr>
                <w:sz w:val="22"/>
              </w:rPr>
            </w:pPr>
            <w:r>
              <w:rPr>
                <w:sz w:val="22"/>
              </w:rPr>
              <w:t>0,31</w:t>
            </w:r>
          </w:p>
        </w:tc>
        <w:tc>
          <w:tcPr>
            <w:tcW w:w="1067" w:type="pct"/>
            <w:tcBorders>
              <w:left w:val="nil"/>
              <w:right w:val="nil"/>
            </w:tcBorders>
          </w:tcPr>
          <w:p w:rsidR="00B3075F" w:rsidRPr="002451CB" w:rsidRDefault="00B3075F" w:rsidP="003F48BC">
            <w:pPr>
              <w:pStyle w:val="Wramce"/>
              <w:spacing w:before="100" w:after="60"/>
              <w:jc w:val="center"/>
              <w:rPr>
                <w:sz w:val="22"/>
              </w:rPr>
            </w:pPr>
            <w:r>
              <w:rPr>
                <w:sz w:val="22"/>
              </w:rPr>
              <w:t>0,28</w:t>
            </w:r>
          </w:p>
        </w:tc>
        <w:tc>
          <w:tcPr>
            <w:tcW w:w="933" w:type="pct"/>
            <w:tcBorders>
              <w:left w:val="nil"/>
            </w:tcBorders>
          </w:tcPr>
          <w:p w:rsidR="00B3075F" w:rsidRPr="002451CB" w:rsidRDefault="00B3075F" w:rsidP="003F48BC">
            <w:pPr>
              <w:pStyle w:val="Wramce"/>
              <w:spacing w:before="100" w:after="60"/>
              <w:jc w:val="center"/>
              <w:rPr>
                <w:sz w:val="22"/>
              </w:rPr>
            </w:pPr>
            <w:r>
              <w:rPr>
                <w:sz w:val="22"/>
              </w:rPr>
              <w:t>0,38*</w:t>
            </w:r>
          </w:p>
        </w:tc>
      </w:tr>
    </w:tbl>
    <w:p w:rsidR="00B3075F" w:rsidRDefault="00B3075F" w:rsidP="00B3075F">
      <w:pPr>
        <w:pStyle w:val="PodpisTabeli"/>
      </w:pPr>
      <w:r>
        <w:t>* p&lt;0,05;  ** p&lt;0,01.</w:t>
      </w:r>
    </w:p>
    <w:p w:rsidR="00B3075F" w:rsidRDefault="00B3075F" w:rsidP="00B3075F">
      <w:pPr>
        <w:ind w:firstLine="0"/>
      </w:pPr>
    </w:p>
    <w:p w:rsidR="00B3075F" w:rsidRDefault="00B3075F" w:rsidP="00B3075F">
      <w:pPr>
        <w:ind w:firstLine="708"/>
      </w:pPr>
      <w:r>
        <w:t xml:space="preserve">Ponieważ badane wskaźniki umiejętności </w:t>
      </w:r>
      <w:proofErr w:type="spellStart"/>
      <w:r>
        <w:t>metapoznawczych</w:t>
      </w:r>
      <w:proofErr w:type="spellEnd"/>
      <w:r>
        <w:t xml:space="preserve"> okazały się dla grupy drugiej dość duże, za wyjątkiem wskaźnika </w:t>
      </w:r>
      <w:r w:rsidRPr="000941FF">
        <w:rPr>
          <w:i/>
        </w:rPr>
        <w:t>ocena</w:t>
      </w:r>
      <w:r>
        <w:t xml:space="preserve">, łatwo wytłumaczyć fakt, że jest on dobrze skorelowany ze zmienną rozwiązanie zadanie – nikt w tej grupie zadania nie rozwiązał. Podobnie miała się rzecz z wypisaniem danych. Niski stopień wskaźnika ocena wynikał ze „ścisłości” pytań – odpowiadało się na nie po zakończeniu rozwiązywania zadań i jeśli nie zrobiło się zadania, to uczniowie wybierali zwykle odpowiedź </w:t>
      </w:r>
      <w:r w:rsidRPr="00DB2EC8">
        <w:rPr>
          <w:i/>
        </w:rPr>
        <w:t>nie</w:t>
      </w:r>
      <w:r>
        <w:t xml:space="preserve">. Inaczej było dla odpowiedzi w innych wskaźnikach: przykładowo na pytanie „Jeśli nie wiem ja zacząć wracam do początku zadania i czytam zadanie raz jeszcze?” uczeń może odpowiedzieć </w:t>
      </w:r>
      <w:r w:rsidRPr="00DB2EC8">
        <w:rPr>
          <w:i/>
        </w:rPr>
        <w:t>tak</w:t>
      </w:r>
      <w:r>
        <w:rPr>
          <w:i/>
        </w:rPr>
        <w:t>,</w:t>
      </w:r>
      <w:r>
        <w:t xml:space="preserve"> nawet jeśli nie zrobił nic by zadanie rozwiązać.</w:t>
      </w:r>
    </w:p>
    <w:p w:rsidR="00B3075F" w:rsidRDefault="00B3075F" w:rsidP="00B3075F">
      <w:pPr>
        <w:ind w:firstLine="708"/>
      </w:pPr>
      <w:r>
        <w:t xml:space="preserve">Wyjątkowo silny związek istnieje pomiędzy podjęciem próby rozwiązania a zmienną </w:t>
      </w:r>
      <w:r w:rsidRPr="000941FF">
        <w:rPr>
          <w:i/>
        </w:rPr>
        <w:t>monitorowanie</w:t>
      </w:r>
      <w:r>
        <w:t>. W tym przypadku niska ilość prób rozwiązania zadań dobrze korelowała z odpowiedziami negującymi umiejętność odnajdowania ważnych informacji, rozbijania zadania na mniejsze lub znajdowania lepszego rozwiązania.</w:t>
      </w:r>
    </w:p>
    <w:p w:rsidR="00B3075F" w:rsidRDefault="00B3075F" w:rsidP="00B3075F">
      <w:pPr>
        <w:ind w:firstLine="708"/>
      </w:pPr>
      <w:r>
        <w:t xml:space="preserve">W reszcie przypadków nie ma związku pomiędzy poszczególnymi umiejętnościami </w:t>
      </w:r>
      <w:proofErr w:type="spellStart"/>
      <w:r>
        <w:t>metapoznawczymi</w:t>
      </w:r>
      <w:proofErr w:type="spellEnd"/>
      <w:r>
        <w:t xml:space="preserve"> a rozwiązaniem postawionych zadań, czy choćby wykonywaniem kolejnych kroków postępowania (rysunek pomocniczy, wypisanie danych). Jak widać sama aktywizacja (przeczytanie treści pytań) nie zwiększyło szans uczniów. Racjonalne wydaje się przypuszczenie, że nawet obniżyła: ankieta była dla uczniów dodatkowym zadaniem. Jego „rozwiązanie” zabierało czas i zasoby poznawcze potrzebne do pracy nad osiągnięciem właściwego celu . Potwierdzały to fakt, że grupa kontrolna – niewypełniająca ankiety – miała lepsze wyniki. Możliwe jest również, że pytania ankiety były po prostu niezrozumiałe, czego nie doświadczyła grupa 1 poddana treningowi </w:t>
      </w:r>
      <w:proofErr w:type="spellStart"/>
      <w:r>
        <w:t>metapoznawczemu</w:t>
      </w:r>
      <w:proofErr w:type="spellEnd"/>
      <w:r>
        <w:t xml:space="preserve">. Można przypuszczać, że wysokie wskaźniki umiejętności </w:t>
      </w:r>
      <w:proofErr w:type="spellStart"/>
      <w:r>
        <w:t>metapoznawczych</w:t>
      </w:r>
      <w:proofErr w:type="spellEnd"/>
      <w:r>
        <w:t xml:space="preserve"> wynikają z tego, że „przyrząd pomiarowy zbyt mocno zaburza badany układ”.</w:t>
      </w:r>
    </w:p>
    <w:p w:rsidR="00B3075F" w:rsidRDefault="00B3075F" w:rsidP="00B3075F">
      <w:pPr>
        <w:tabs>
          <w:tab w:val="left" w:pos="851"/>
        </w:tabs>
        <w:ind w:firstLine="708"/>
      </w:pPr>
      <w:r>
        <w:t xml:space="preserve">W tej sytuacji trudno traktować bezkrytycznie wyniki, jakie można by uzyskać z pomiaru obu grup łącznie. Dla porządku przedstawiono je jednak w tabeli 7. Jak poniżej widać wyniki dla najważniejszej zmiennej </w:t>
      </w:r>
      <w:r w:rsidRPr="00415ED9">
        <w:rPr>
          <w:i/>
        </w:rPr>
        <w:t>rozwiązanie zadania</w:t>
      </w:r>
      <w:r>
        <w:t xml:space="preserve"> są podobne do tych jakie uzyskała grupa „z aktywizacją”. Silniejsze poziomy istotności wynikają nie z lepszego dopasowania korelacji, ale z dwukrotnie większej liczebności danych (dwie grupy na raz).</w:t>
      </w:r>
    </w:p>
    <w:p w:rsidR="00B3075F" w:rsidRDefault="00B3075F" w:rsidP="00B3075F">
      <w:pPr>
        <w:pStyle w:val="PodpisTabeli"/>
      </w:pPr>
      <w:r>
        <w:t xml:space="preserve">Tabela 7. </w:t>
      </w:r>
    </w:p>
    <w:p w:rsidR="00B3075F" w:rsidRPr="00415ED9" w:rsidRDefault="00B3075F" w:rsidP="00B3075F">
      <w:pPr>
        <w:pStyle w:val="PodpisTabeli"/>
        <w:rPr>
          <w:i/>
        </w:rPr>
      </w:pPr>
      <w:r w:rsidRPr="00415ED9">
        <w:rPr>
          <w:i/>
        </w:rPr>
        <w:t>Korelacje pomiędzy pozio</w:t>
      </w:r>
      <w:r>
        <w:rPr>
          <w:i/>
        </w:rPr>
        <w:t xml:space="preserve">mem kompetencji </w:t>
      </w:r>
      <w:proofErr w:type="spellStart"/>
      <w:r>
        <w:rPr>
          <w:i/>
        </w:rPr>
        <w:t>metapoznawczych</w:t>
      </w:r>
      <w:proofErr w:type="spellEnd"/>
      <w:r w:rsidRPr="00415ED9">
        <w:rPr>
          <w:i/>
        </w:rPr>
        <w:t xml:space="preserve"> a wskaźnikami rozwiązania zadania przez uczniów (współczynnik korelacji </w:t>
      </w:r>
      <w:proofErr w:type="spellStart"/>
      <w:r w:rsidRPr="00415ED9">
        <w:rPr>
          <w:i/>
        </w:rPr>
        <w:t>Spearmana</w:t>
      </w:r>
      <w:proofErr w:type="spellEnd"/>
      <w:r w:rsidRPr="00415ED9">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997"/>
        <w:gridCol w:w="1772"/>
        <w:gridCol w:w="1982"/>
        <w:gridCol w:w="1733"/>
      </w:tblGrid>
      <w:tr w:rsidR="00B3075F" w:rsidRPr="002451CB" w:rsidTr="003F48BC">
        <w:tc>
          <w:tcPr>
            <w:tcW w:w="971" w:type="pct"/>
          </w:tcPr>
          <w:p w:rsidR="00B3075F" w:rsidRPr="002451CB" w:rsidRDefault="00B3075F" w:rsidP="003F48BC">
            <w:pPr>
              <w:pStyle w:val="Wramce"/>
              <w:spacing w:before="100" w:after="60"/>
              <w:jc w:val="center"/>
              <w:rPr>
                <w:sz w:val="22"/>
              </w:rPr>
            </w:pPr>
          </w:p>
        </w:tc>
        <w:tc>
          <w:tcPr>
            <w:tcW w:w="1075" w:type="pct"/>
          </w:tcPr>
          <w:p w:rsidR="00B3075F" w:rsidRPr="002451CB" w:rsidRDefault="00B3075F" w:rsidP="003F48BC">
            <w:pPr>
              <w:pStyle w:val="Wramce"/>
              <w:spacing w:before="100" w:after="60"/>
              <w:jc w:val="center"/>
              <w:rPr>
                <w:sz w:val="22"/>
              </w:rPr>
            </w:pPr>
            <w:r w:rsidRPr="002451CB">
              <w:rPr>
                <w:sz w:val="22"/>
              </w:rPr>
              <w:t>Zaangażowanie</w:t>
            </w:r>
          </w:p>
        </w:tc>
        <w:tc>
          <w:tcPr>
            <w:tcW w:w="954" w:type="pct"/>
          </w:tcPr>
          <w:p w:rsidR="00B3075F" w:rsidRPr="002451CB" w:rsidRDefault="00B3075F" w:rsidP="003F48BC">
            <w:pPr>
              <w:pStyle w:val="Wramce"/>
              <w:spacing w:before="100" w:after="60"/>
              <w:jc w:val="center"/>
              <w:rPr>
                <w:sz w:val="22"/>
              </w:rPr>
            </w:pPr>
            <w:r w:rsidRPr="002451CB">
              <w:rPr>
                <w:sz w:val="22"/>
              </w:rPr>
              <w:t>Planowanie</w:t>
            </w:r>
          </w:p>
        </w:tc>
        <w:tc>
          <w:tcPr>
            <w:tcW w:w="1067" w:type="pct"/>
          </w:tcPr>
          <w:p w:rsidR="00B3075F" w:rsidRPr="002451CB" w:rsidRDefault="00B3075F" w:rsidP="003F48BC">
            <w:pPr>
              <w:pStyle w:val="Wramce"/>
              <w:spacing w:before="100" w:after="60"/>
              <w:jc w:val="center"/>
              <w:rPr>
                <w:sz w:val="22"/>
              </w:rPr>
            </w:pPr>
            <w:r w:rsidRPr="002451CB">
              <w:rPr>
                <w:sz w:val="22"/>
              </w:rPr>
              <w:t>Monitorowanie</w:t>
            </w:r>
          </w:p>
        </w:tc>
        <w:tc>
          <w:tcPr>
            <w:tcW w:w="933" w:type="pct"/>
          </w:tcPr>
          <w:p w:rsidR="00B3075F" w:rsidRPr="002451CB" w:rsidRDefault="00B3075F" w:rsidP="003F48BC">
            <w:pPr>
              <w:pStyle w:val="Wramce"/>
              <w:spacing w:before="100" w:after="60"/>
              <w:jc w:val="center"/>
              <w:rPr>
                <w:sz w:val="22"/>
              </w:rPr>
            </w:pPr>
            <w:r w:rsidRPr="002451CB">
              <w:rPr>
                <w:sz w:val="22"/>
              </w:rPr>
              <w:t>Ocena</w:t>
            </w:r>
          </w:p>
        </w:tc>
      </w:tr>
      <w:tr w:rsidR="00B3075F" w:rsidRPr="002451CB" w:rsidTr="003F48BC">
        <w:tc>
          <w:tcPr>
            <w:tcW w:w="971" w:type="pct"/>
          </w:tcPr>
          <w:p w:rsidR="00B3075F" w:rsidRPr="002451CB" w:rsidRDefault="00B3075F" w:rsidP="003F48BC">
            <w:pPr>
              <w:pStyle w:val="Wramce"/>
              <w:spacing w:before="100" w:after="60"/>
              <w:rPr>
                <w:sz w:val="22"/>
              </w:rPr>
            </w:pPr>
            <w:r w:rsidRPr="002451CB">
              <w:rPr>
                <w:sz w:val="22"/>
              </w:rPr>
              <w:t>Rozwiązanie</w:t>
            </w:r>
            <w:r w:rsidRPr="002451CB">
              <w:rPr>
                <w:sz w:val="22"/>
              </w:rPr>
              <w:br/>
              <w:t>zadania</w:t>
            </w:r>
          </w:p>
        </w:tc>
        <w:tc>
          <w:tcPr>
            <w:tcW w:w="1075" w:type="pct"/>
          </w:tcPr>
          <w:p w:rsidR="00B3075F" w:rsidRPr="002451CB" w:rsidRDefault="00B3075F" w:rsidP="003F48BC">
            <w:pPr>
              <w:pStyle w:val="Wramce"/>
              <w:spacing w:before="100" w:after="60"/>
              <w:jc w:val="center"/>
              <w:rPr>
                <w:sz w:val="22"/>
              </w:rPr>
            </w:pPr>
            <w:r w:rsidRPr="002451CB">
              <w:rPr>
                <w:sz w:val="22"/>
              </w:rPr>
              <w:t>0,41**</w:t>
            </w:r>
          </w:p>
        </w:tc>
        <w:tc>
          <w:tcPr>
            <w:tcW w:w="954" w:type="pct"/>
          </w:tcPr>
          <w:p w:rsidR="00B3075F" w:rsidRPr="002451CB" w:rsidRDefault="00B3075F" w:rsidP="003F48BC">
            <w:pPr>
              <w:pStyle w:val="Wramce"/>
              <w:spacing w:before="100" w:after="60"/>
              <w:jc w:val="center"/>
              <w:rPr>
                <w:sz w:val="22"/>
              </w:rPr>
            </w:pPr>
            <w:r w:rsidRPr="002451CB">
              <w:rPr>
                <w:sz w:val="22"/>
              </w:rPr>
              <w:t>0,43**</w:t>
            </w:r>
          </w:p>
        </w:tc>
        <w:tc>
          <w:tcPr>
            <w:tcW w:w="1067" w:type="pct"/>
          </w:tcPr>
          <w:p w:rsidR="00B3075F" w:rsidRPr="002451CB" w:rsidRDefault="00B3075F" w:rsidP="003F48BC">
            <w:pPr>
              <w:pStyle w:val="Wramce"/>
              <w:spacing w:before="100" w:after="60"/>
              <w:jc w:val="center"/>
              <w:rPr>
                <w:sz w:val="22"/>
              </w:rPr>
            </w:pPr>
            <w:r>
              <w:rPr>
                <w:sz w:val="22"/>
              </w:rPr>
              <w:t>0,21</w:t>
            </w:r>
          </w:p>
        </w:tc>
        <w:tc>
          <w:tcPr>
            <w:tcW w:w="933" w:type="pct"/>
          </w:tcPr>
          <w:p w:rsidR="00B3075F" w:rsidRPr="002451CB" w:rsidRDefault="00B3075F" w:rsidP="003F48BC">
            <w:pPr>
              <w:pStyle w:val="Wramce"/>
              <w:spacing w:before="100" w:after="60"/>
              <w:jc w:val="center"/>
              <w:rPr>
                <w:sz w:val="22"/>
              </w:rPr>
            </w:pPr>
            <w:r>
              <w:rPr>
                <w:sz w:val="22"/>
              </w:rPr>
              <w:t>0,42**</w:t>
            </w:r>
          </w:p>
        </w:tc>
      </w:tr>
      <w:tr w:rsidR="00B3075F" w:rsidRPr="002451CB" w:rsidTr="003F48BC">
        <w:tc>
          <w:tcPr>
            <w:tcW w:w="971" w:type="pct"/>
          </w:tcPr>
          <w:p w:rsidR="00B3075F" w:rsidRPr="002451CB" w:rsidRDefault="00B3075F" w:rsidP="003F48BC">
            <w:pPr>
              <w:pStyle w:val="Wramce"/>
              <w:spacing w:before="100" w:after="60"/>
              <w:rPr>
                <w:sz w:val="22"/>
              </w:rPr>
            </w:pPr>
            <w:r w:rsidRPr="002451CB">
              <w:rPr>
                <w:sz w:val="22"/>
              </w:rPr>
              <w:t>Próba</w:t>
            </w:r>
            <w:r w:rsidRPr="002451CB">
              <w:rPr>
                <w:sz w:val="22"/>
              </w:rPr>
              <w:br/>
              <w:t>rozwiązania</w:t>
            </w:r>
          </w:p>
        </w:tc>
        <w:tc>
          <w:tcPr>
            <w:tcW w:w="1075" w:type="pct"/>
          </w:tcPr>
          <w:p w:rsidR="00B3075F" w:rsidRPr="002451CB" w:rsidRDefault="00B3075F" w:rsidP="003F48BC">
            <w:pPr>
              <w:pStyle w:val="Wramce"/>
              <w:spacing w:before="100" w:after="60"/>
              <w:jc w:val="center"/>
              <w:rPr>
                <w:sz w:val="22"/>
              </w:rPr>
            </w:pPr>
            <w:r w:rsidRPr="002451CB">
              <w:rPr>
                <w:sz w:val="22"/>
              </w:rPr>
              <w:t>0,05</w:t>
            </w:r>
          </w:p>
        </w:tc>
        <w:tc>
          <w:tcPr>
            <w:tcW w:w="954" w:type="pct"/>
          </w:tcPr>
          <w:p w:rsidR="00B3075F" w:rsidRPr="002451CB" w:rsidRDefault="00B3075F" w:rsidP="003F48BC">
            <w:pPr>
              <w:pStyle w:val="Wramce"/>
              <w:spacing w:before="100" w:after="60"/>
              <w:jc w:val="center"/>
              <w:rPr>
                <w:sz w:val="22"/>
              </w:rPr>
            </w:pPr>
            <w:r w:rsidRPr="002451CB">
              <w:rPr>
                <w:sz w:val="22"/>
              </w:rPr>
              <w:t>0,17</w:t>
            </w:r>
          </w:p>
        </w:tc>
        <w:tc>
          <w:tcPr>
            <w:tcW w:w="1067" w:type="pct"/>
          </w:tcPr>
          <w:p w:rsidR="00B3075F" w:rsidRPr="002451CB" w:rsidRDefault="00B3075F" w:rsidP="003F48BC">
            <w:pPr>
              <w:pStyle w:val="Wramce"/>
              <w:spacing w:before="100" w:after="60"/>
              <w:jc w:val="center"/>
              <w:rPr>
                <w:sz w:val="22"/>
              </w:rPr>
            </w:pPr>
            <w:r>
              <w:rPr>
                <w:sz w:val="22"/>
              </w:rPr>
              <w:t>0,25*</w:t>
            </w:r>
          </w:p>
        </w:tc>
        <w:tc>
          <w:tcPr>
            <w:tcW w:w="933" w:type="pct"/>
          </w:tcPr>
          <w:p w:rsidR="00B3075F" w:rsidRPr="002451CB" w:rsidRDefault="00B3075F" w:rsidP="003F48BC">
            <w:pPr>
              <w:pStyle w:val="Wramce"/>
              <w:spacing w:before="100" w:after="60"/>
              <w:jc w:val="center"/>
              <w:rPr>
                <w:sz w:val="22"/>
              </w:rPr>
            </w:pPr>
            <w:r>
              <w:rPr>
                <w:sz w:val="22"/>
              </w:rPr>
              <w:t>0,39**</w:t>
            </w:r>
          </w:p>
        </w:tc>
      </w:tr>
      <w:tr w:rsidR="00B3075F" w:rsidRPr="002451CB" w:rsidTr="003F48BC">
        <w:tc>
          <w:tcPr>
            <w:tcW w:w="971" w:type="pct"/>
          </w:tcPr>
          <w:p w:rsidR="00B3075F" w:rsidRPr="002451CB" w:rsidRDefault="00B3075F" w:rsidP="003F48BC">
            <w:pPr>
              <w:pStyle w:val="Wramce"/>
              <w:spacing w:before="100" w:after="60"/>
              <w:rPr>
                <w:sz w:val="22"/>
              </w:rPr>
            </w:pPr>
            <w:r w:rsidRPr="002451CB">
              <w:rPr>
                <w:sz w:val="22"/>
              </w:rPr>
              <w:t>Rysunek</w:t>
            </w:r>
          </w:p>
        </w:tc>
        <w:tc>
          <w:tcPr>
            <w:tcW w:w="1075" w:type="pct"/>
          </w:tcPr>
          <w:p w:rsidR="00B3075F" w:rsidRPr="002451CB" w:rsidRDefault="00B3075F" w:rsidP="003F48BC">
            <w:pPr>
              <w:pStyle w:val="Wramce"/>
              <w:spacing w:before="100" w:after="60"/>
              <w:jc w:val="center"/>
              <w:rPr>
                <w:sz w:val="22"/>
              </w:rPr>
            </w:pPr>
            <w:r w:rsidRPr="002451CB">
              <w:rPr>
                <w:sz w:val="22"/>
              </w:rPr>
              <w:t>0,26*</w:t>
            </w:r>
          </w:p>
        </w:tc>
        <w:tc>
          <w:tcPr>
            <w:tcW w:w="954" w:type="pct"/>
          </w:tcPr>
          <w:p w:rsidR="00B3075F" w:rsidRPr="002451CB" w:rsidRDefault="00B3075F" w:rsidP="003F48BC">
            <w:pPr>
              <w:pStyle w:val="Wramce"/>
              <w:spacing w:before="100" w:after="60"/>
              <w:jc w:val="center"/>
              <w:rPr>
                <w:sz w:val="22"/>
              </w:rPr>
            </w:pPr>
            <w:r w:rsidRPr="002451CB">
              <w:rPr>
                <w:sz w:val="22"/>
              </w:rPr>
              <w:t>0,42**</w:t>
            </w:r>
          </w:p>
        </w:tc>
        <w:tc>
          <w:tcPr>
            <w:tcW w:w="1067" w:type="pct"/>
          </w:tcPr>
          <w:p w:rsidR="00B3075F" w:rsidRPr="002451CB" w:rsidRDefault="00B3075F" w:rsidP="003F48BC">
            <w:pPr>
              <w:pStyle w:val="Wramce"/>
              <w:spacing w:before="100" w:after="60"/>
              <w:jc w:val="center"/>
              <w:rPr>
                <w:sz w:val="22"/>
              </w:rPr>
            </w:pPr>
            <w:r>
              <w:rPr>
                <w:sz w:val="22"/>
              </w:rPr>
              <w:t>0,28*</w:t>
            </w:r>
          </w:p>
        </w:tc>
        <w:tc>
          <w:tcPr>
            <w:tcW w:w="933" w:type="pct"/>
          </w:tcPr>
          <w:p w:rsidR="00B3075F" w:rsidRPr="002451CB" w:rsidRDefault="00B3075F" w:rsidP="003F48BC">
            <w:pPr>
              <w:pStyle w:val="Wramce"/>
              <w:spacing w:before="100" w:after="60"/>
              <w:jc w:val="center"/>
              <w:rPr>
                <w:sz w:val="22"/>
              </w:rPr>
            </w:pPr>
            <w:r w:rsidRPr="002451CB">
              <w:rPr>
                <w:sz w:val="22"/>
              </w:rPr>
              <w:t>0,4</w:t>
            </w:r>
            <w:r>
              <w:rPr>
                <w:sz w:val="22"/>
              </w:rPr>
              <w:t>4**</w:t>
            </w:r>
          </w:p>
        </w:tc>
      </w:tr>
      <w:tr w:rsidR="00B3075F" w:rsidRPr="002451CB" w:rsidTr="003F48BC">
        <w:tc>
          <w:tcPr>
            <w:tcW w:w="971" w:type="pct"/>
          </w:tcPr>
          <w:p w:rsidR="00B3075F" w:rsidRPr="002451CB" w:rsidRDefault="00B3075F" w:rsidP="003F48BC">
            <w:pPr>
              <w:pStyle w:val="Wramce"/>
              <w:spacing w:before="100" w:after="60"/>
              <w:rPr>
                <w:sz w:val="22"/>
              </w:rPr>
            </w:pPr>
            <w:r w:rsidRPr="002451CB">
              <w:rPr>
                <w:sz w:val="22"/>
              </w:rPr>
              <w:t>Wypisanie</w:t>
            </w:r>
            <w:r w:rsidRPr="002451CB">
              <w:rPr>
                <w:sz w:val="22"/>
              </w:rPr>
              <w:br/>
              <w:t>danych</w:t>
            </w:r>
          </w:p>
        </w:tc>
        <w:tc>
          <w:tcPr>
            <w:tcW w:w="1075" w:type="pct"/>
          </w:tcPr>
          <w:p w:rsidR="00B3075F" w:rsidRPr="002451CB" w:rsidRDefault="00B3075F" w:rsidP="003F48BC">
            <w:pPr>
              <w:pStyle w:val="Wramce"/>
              <w:spacing w:before="100" w:after="60"/>
              <w:jc w:val="center"/>
              <w:rPr>
                <w:sz w:val="22"/>
              </w:rPr>
            </w:pPr>
            <w:r w:rsidRPr="002451CB">
              <w:rPr>
                <w:sz w:val="22"/>
              </w:rPr>
              <w:t>0,07</w:t>
            </w:r>
          </w:p>
        </w:tc>
        <w:tc>
          <w:tcPr>
            <w:tcW w:w="954" w:type="pct"/>
          </w:tcPr>
          <w:p w:rsidR="00B3075F" w:rsidRPr="002451CB" w:rsidRDefault="00B3075F" w:rsidP="003F48BC">
            <w:pPr>
              <w:pStyle w:val="Wramce"/>
              <w:spacing w:before="100" w:after="60"/>
              <w:jc w:val="center"/>
              <w:rPr>
                <w:sz w:val="22"/>
              </w:rPr>
            </w:pPr>
            <w:r w:rsidRPr="002451CB">
              <w:rPr>
                <w:sz w:val="22"/>
              </w:rPr>
              <w:t>0,36**</w:t>
            </w:r>
          </w:p>
        </w:tc>
        <w:tc>
          <w:tcPr>
            <w:tcW w:w="1067" w:type="pct"/>
          </w:tcPr>
          <w:p w:rsidR="00B3075F" w:rsidRPr="002451CB" w:rsidRDefault="00B3075F" w:rsidP="003F48BC">
            <w:pPr>
              <w:pStyle w:val="Wramce"/>
              <w:spacing w:before="100" w:after="60"/>
              <w:jc w:val="center"/>
              <w:rPr>
                <w:sz w:val="22"/>
              </w:rPr>
            </w:pPr>
            <w:r>
              <w:rPr>
                <w:sz w:val="22"/>
              </w:rPr>
              <w:t>0,12</w:t>
            </w:r>
          </w:p>
        </w:tc>
        <w:tc>
          <w:tcPr>
            <w:tcW w:w="933" w:type="pct"/>
          </w:tcPr>
          <w:p w:rsidR="00B3075F" w:rsidRPr="002451CB" w:rsidRDefault="00B3075F" w:rsidP="003F48BC">
            <w:pPr>
              <w:pStyle w:val="Wramce"/>
              <w:spacing w:before="100" w:after="60"/>
              <w:jc w:val="center"/>
              <w:rPr>
                <w:sz w:val="22"/>
              </w:rPr>
            </w:pPr>
            <w:r w:rsidRPr="002451CB">
              <w:rPr>
                <w:sz w:val="22"/>
              </w:rPr>
              <w:t>0,5</w:t>
            </w:r>
            <w:r>
              <w:rPr>
                <w:sz w:val="22"/>
              </w:rPr>
              <w:t>3**</w:t>
            </w:r>
          </w:p>
        </w:tc>
      </w:tr>
    </w:tbl>
    <w:p w:rsidR="00B3075F" w:rsidRDefault="00B3075F" w:rsidP="00B3075F">
      <w:pPr>
        <w:pStyle w:val="PodpisTabeli"/>
      </w:pPr>
      <w:r w:rsidDel="00196D37">
        <w:t xml:space="preserve"> </w:t>
      </w:r>
      <w:r>
        <w:t>* p&lt;0,05;  ** p&lt;0,01.</w:t>
      </w:r>
    </w:p>
    <w:p w:rsidR="00B3075F" w:rsidRDefault="00B3075F" w:rsidP="00B3075F">
      <w:pPr>
        <w:ind w:firstLine="708"/>
      </w:pPr>
    </w:p>
    <w:p w:rsidR="00B3075F" w:rsidRPr="00F86CE2" w:rsidRDefault="00B3075F" w:rsidP="00B3075F">
      <w:pPr>
        <w:pStyle w:val="Heading2"/>
      </w:pPr>
      <w:bookmarkStart w:id="22" w:name="_Toc302846905"/>
      <w:r w:rsidRPr="00F86CE2">
        <w:t xml:space="preserve">Wpływ treningu </w:t>
      </w:r>
      <w:proofErr w:type="spellStart"/>
      <w:r w:rsidRPr="00F86CE2">
        <w:t>metapoznania</w:t>
      </w:r>
      <w:proofErr w:type="spellEnd"/>
      <w:r w:rsidRPr="00F86CE2">
        <w:t xml:space="preserve"> na poziom wykonania zadań</w:t>
      </w:r>
      <w:bookmarkEnd w:id="22"/>
    </w:p>
    <w:p w:rsidR="00B3075F" w:rsidRDefault="00B3075F" w:rsidP="00B3075F">
      <w:r>
        <w:t xml:space="preserve">W niniejszym podrozdziale omówione zostaną wyniki badań testujących hipotezę H2, a mianowicie związek pomiędzy  treningiem </w:t>
      </w:r>
      <w:proofErr w:type="spellStart"/>
      <w:r>
        <w:t>metapoznawczym</w:t>
      </w:r>
      <w:proofErr w:type="spellEnd"/>
      <w:r>
        <w:t xml:space="preserve"> a wskaźnikami dokumentującymi skuteczność w rozwiązywaniu zadań</w:t>
      </w:r>
    </w:p>
    <w:p w:rsidR="00B3075F" w:rsidRDefault="00B3075F" w:rsidP="00B3075F">
      <w:r w:rsidRPr="00F86CE2">
        <w:t xml:space="preserve">Analizując wyniki </w:t>
      </w:r>
      <w:r>
        <w:t xml:space="preserve">przeprowadzonych badań </w:t>
      </w:r>
      <w:r w:rsidRPr="00F86CE2">
        <w:t xml:space="preserve">można stwierdzić, że </w:t>
      </w:r>
      <w:r>
        <w:t>badani</w:t>
      </w:r>
      <w:r w:rsidRPr="00F86CE2">
        <w:t>, któr</w:t>
      </w:r>
      <w:r>
        <w:t>zy</w:t>
      </w:r>
      <w:r w:rsidRPr="00F86CE2">
        <w:t xml:space="preserve"> przes</w:t>
      </w:r>
      <w:r>
        <w:t>zli</w:t>
      </w:r>
      <w:r w:rsidRPr="00F86CE2">
        <w:t xml:space="preserve"> 6-miesięczn</w:t>
      </w:r>
      <w:r>
        <w:t>y</w:t>
      </w:r>
      <w:r w:rsidRPr="00F86CE2">
        <w:t xml:space="preserve"> </w:t>
      </w:r>
      <w:r>
        <w:t>trening</w:t>
      </w:r>
      <w:r w:rsidRPr="00F86CE2">
        <w:t xml:space="preserve"> lepiej poradzi</w:t>
      </w:r>
      <w:r>
        <w:t>li</w:t>
      </w:r>
      <w:r w:rsidRPr="00F86CE2">
        <w:t xml:space="preserve"> sobie z rozwiązaniem zadań od grupy kontrolnej, która </w:t>
      </w:r>
      <w:r>
        <w:t>nie miała treningu</w:t>
      </w:r>
      <w:r w:rsidRPr="00F86CE2">
        <w:t>. Hipoteza zerowa, która mówi, że obie zmienne są niezależne (prawidłowo rozwiązanie zadań będzie jednakowo często występował</w:t>
      </w:r>
      <w:r>
        <w:t>o w grupach eksperymentalnej i </w:t>
      </w:r>
      <w:r w:rsidRPr="00F86CE2">
        <w:t xml:space="preserve">kontrolnej) została odrzucona [chi 2 (1)=13,017 ; p=0,01]. </w:t>
      </w:r>
    </w:p>
    <w:p w:rsidR="00B3075F" w:rsidRPr="00732379" w:rsidRDefault="00B3075F" w:rsidP="00B3075F">
      <w:pPr>
        <w:pStyle w:val="Podpisrysunku"/>
      </w:pPr>
      <w:r>
        <w:rPr>
          <w:noProof/>
          <w:lang w:val="en-US"/>
        </w:rPr>
        <w:drawing>
          <wp:inline distT="0" distB="0" distL="0" distR="0">
            <wp:extent cx="5676900" cy="28194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48741D">
        <w:rPr>
          <w:i/>
        </w:rPr>
        <w:t>Rysunek 5</w:t>
      </w:r>
      <w:r w:rsidRPr="00732379">
        <w:t>. Porównanie grupy „z treningiem” i kontrolnej w rozwiązaniu zadań.</w:t>
      </w:r>
    </w:p>
    <w:p w:rsidR="00B3075F" w:rsidRPr="00ED42E4" w:rsidRDefault="00B3075F" w:rsidP="00B3075F">
      <w:r w:rsidRPr="00ED42E4">
        <w:t>Powyższe wyniki potwierdzają</w:t>
      </w:r>
      <w:r>
        <w:t xml:space="preserve"> znaczenie kompetencji </w:t>
      </w:r>
      <w:proofErr w:type="spellStart"/>
      <w:r>
        <w:t>metapoznawczych</w:t>
      </w:r>
      <w:proofErr w:type="spellEnd"/>
      <w:r>
        <w:t xml:space="preserve"> w osiąganiu sukcesów w rozwiązywaniu zadań otwartych z fizyki. Wynik osiągnięty przez uczniów mógł wynikać z dwóch przyczyn: Po pierwsze uczniowie znający strategie </w:t>
      </w:r>
      <w:proofErr w:type="spellStart"/>
      <w:r>
        <w:t>metapoznawcze</w:t>
      </w:r>
      <w:proofErr w:type="spellEnd"/>
      <w:r>
        <w:t xml:space="preserve"> lepiej radzą sobie ze złożonymi problemami. Drugim możliwym wytłumaczeniem jest to, dzięki lekcjom opartym o metody </w:t>
      </w:r>
      <w:proofErr w:type="spellStart"/>
      <w:r>
        <w:t>metapoznawcze</w:t>
      </w:r>
      <w:proofErr w:type="spellEnd"/>
      <w:r>
        <w:t xml:space="preserve"> uczniowie skuteczniej opanowują materiał. Konstrukcja zastosowanych zadań weryfikowała pierwszą przyczynę z dwóch powyższych: Rozwiązanie zadań nie wymagało od uczniów zaawansowanej wiedzy fizycznej, jednak niestandardowe sformułowanie zadań wymuszało stosowanie różnych technik radzenia sobie ze złożonym problemem. Uczeń musiał wyszukać istotnych dla zadania informacji oraz znaleźć odpowiedni sposób rozwiązania zadania (musiał „odkryć”, że potrafi rozwiązać zadanie). Przykładowo, żeby sprostać zadaniu można było pomóc sobie rysunkiem.</w:t>
      </w:r>
    </w:p>
    <w:p w:rsidR="00B3075F" w:rsidRDefault="00B3075F" w:rsidP="00B3075F">
      <w:r>
        <w:t>Jako informację uzupełniającą sprawdzenie hipotezy H1 poniżej przedstawiono p</w:t>
      </w:r>
      <w:r w:rsidRPr="00F86CE2">
        <w:t>orównanie grupy eksperyme</w:t>
      </w:r>
      <w:r>
        <w:t xml:space="preserve">ntalnej, która przeszła trening </w:t>
      </w:r>
      <w:proofErr w:type="spellStart"/>
      <w:r>
        <w:t>metapoznawczy</w:t>
      </w:r>
      <w:proofErr w:type="spellEnd"/>
      <w:r w:rsidRPr="00F86CE2">
        <w:t xml:space="preserve"> z grupą kontrolną w ilościach prób rozwiązania zadania, umiejętności wypisania danych z zadania, posługiwania się rysunkiem jako strategią pomocną w rozwiązaniu problemu (</w:t>
      </w:r>
      <w:r>
        <w:t>t</w:t>
      </w:r>
      <w:r w:rsidRPr="00F86CE2">
        <w:t xml:space="preserve">abela </w:t>
      </w:r>
      <w:r>
        <w:t>8</w:t>
      </w:r>
      <w:r w:rsidRPr="00F86CE2">
        <w:t>)</w:t>
      </w:r>
      <w:r>
        <w:t xml:space="preserve">. </w:t>
      </w:r>
    </w:p>
    <w:p w:rsidR="00B3075F" w:rsidRDefault="00B3075F" w:rsidP="00B3075F">
      <w:r>
        <w:t>Wyniki w tabeli pokazują</w:t>
      </w:r>
      <w:r w:rsidRPr="00F86CE2">
        <w:t xml:space="preserve"> w każdym przypadku istotną różnicę pomiędzy dwoma badanymi g</w:t>
      </w:r>
      <w:r>
        <w:t xml:space="preserve">rupami. Grupa eksperymentalna, która przeszła trening </w:t>
      </w:r>
      <w:proofErr w:type="spellStart"/>
      <w:r>
        <w:t>metapoznawczy</w:t>
      </w:r>
      <w:proofErr w:type="spellEnd"/>
      <w:r w:rsidRPr="00F86CE2">
        <w:t xml:space="preserve"> częściej wypisywała dane, posługiwała się rysunkiem czy doko</w:t>
      </w:r>
      <w:r>
        <w:t xml:space="preserve">nywała prób rozwiązania zadania. Wszystkie te działania mogły wpłynąć na ostateczny rezultat rozwiązania problemu z fizyki. Uczniowie poddawani treningowi sprawniej organizują swoja pracę (posługują się rysunkiem, wypisują dane) oraz z większa determinacja dążą do osiągnięcia sukcesu (próba rozwiązania) </w:t>
      </w:r>
    </w:p>
    <w:p w:rsidR="00B3075F" w:rsidRDefault="00B3075F" w:rsidP="00B3075F">
      <w:pPr>
        <w:pStyle w:val="PodpisTabeli"/>
      </w:pPr>
      <w:r>
        <w:t>Tabela 8</w:t>
      </w:r>
    </w:p>
    <w:p w:rsidR="00B3075F" w:rsidRPr="00880970" w:rsidRDefault="00B3075F" w:rsidP="00B3075F">
      <w:pPr>
        <w:pStyle w:val="PodpisTabeli"/>
        <w:rPr>
          <w:i/>
        </w:rPr>
      </w:pPr>
      <w:r w:rsidRPr="00880970">
        <w:rPr>
          <w:i/>
        </w:rPr>
        <w:t>Wyniki testu Chi kwadrat Pearsona- różnice pomiędzy grupą eksperymentalną „z treningiem” i grupą kontrolną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019"/>
        <w:gridCol w:w="1211"/>
        <w:gridCol w:w="2222"/>
      </w:tblGrid>
      <w:tr w:rsidR="00B3075F" w:rsidRPr="00F86CE2" w:rsidTr="003F48BC">
        <w:trPr>
          <w:trHeight w:val="964"/>
        </w:trPr>
        <w:tc>
          <w:tcPr>
            <w:tcW w:w="2065" w:type="pct"/>
            <w:tcBorders>
              <w:left w:val="nil"/>
              <w:right w:val="nil"/>
            </w:tcBorders>
          </w:tcPr>
          <w:p w:rsidR="00B3075F" w:rsidRPr="00F86CE2" w:rsidRDefault="00B3075F" w:rsidP="003F48BC">
            <w:pPr>
              <w:pStyle w:val="Wramce"/>
              <w:spacing w:before="100" w:after="60"/>
              <w:jc w:val="center"/>
            </w:pPr>
            <w:r w:rsidRPr="00F86CE2">
              <w:t>Zmienna</w:t>
            </w:r>
          </w:p>
        </w:tc>
        <w:tc>
          <w:tcPr>
            <w:tcW w:w="1087" w:type="pct"/>
            <w:tcBorders>
              <w:left w:val="nil"/>
              <w:right w:val="nil"/>
            </w:tcBorders>
          </w:tcPr>
          <w:p w:rsidR="00B3075F" w:rsidRPr="00F86CE2" w:rsidRDefault="00B3075F" w:rsidP="003F48BC">
            <w:pPr>
              <w:pStyle w:val="Wramce"/>
              <w:spacing w:before="100" w:after="60"/>
              <w:jc w:val="center"/>
            </w:pPr>
            <w:r w:rsidRPr="00F86CE2">
              <w:t>Chi-kwadrat Pearsona</w:t>
            </w:r>
          </w:p>
        </w:tc>
        <w:tc>
          <w:tcPr>
            <w:tcW w:w="652" w:type="pct"/>
            <w:tcBorders>
              <w:left w:val="nil"/>
              <w:right w:val="nil"/>
            </w:tcBorders>
          </w:tcPr>
          <w:p w:rsidR="00B3075F" w:rsidRPr="00F86CE2" w:rsidRDefault="00B3075F" w:rsidP="003F48BC">
            <w:pPr>
              <w:pStyle w:val="Wramce"/>
              <w:spacing w:before="100" w:after="60"/>
              <w:jc w:val="center"/>
            </w:pPr>
            <w:proofErr w:type="spellStart"/>
            <w:r w:rsidRPr="00F86CE2">
              <w:t>Df</w:t>
            </w:r>
            <w:proofErr w:type="spellEnd"/>
          </w:p>
        </w:tc>
        <w:tc>
          <w:tcPr>
            <w:tcW w:w="1196" w:type="pct"/>
            <w:tcBorders>
              <w:left w:val="nil"/>
              <w:right w:val="nil"/>
            </w:tcBorders>
          </w:tcPr>
          <w:p w:rsidR="00B3075F" w:rsidRPr="00F86CE2" w:rsidRDefault="00B3075F" w:rsidP="003F48BC">
            <w:pPr>
              <w:pStyle w:val="Wramce"/>
              <w:spacing w:before="100" w:after="60"/>
              <w:jc w:val="center"/>
            </w:pPr>
            <w:r w:rsidRPr="00F86CE2">
              <w:t>Istotność asymptotyczna (dwustronna)</w:t>
            </w:r>
          </w:p>
        </w:tc>
      </w:tr>
      <w:tr w:rsidR="00B3075F" w:rsidRPr="00F86CE2" w:rsidTr="003F48BC">
        <w:trPr>
          <w:trHeight w:val="273"/>
        </w:trPr>
        <w:tc>
          <w:tcPr>
            <w:tcW w:w="2065" w:type="pct"/>
            <w:tcBorders>
              <w:left w:val="nil"/>
              <w:right w:val="nil"/>
            </w:tcBorders>
          </w:tcPr>
          <w:p w:rsidR="00B3075F" w:rsidRPr="00F86CE2" w:rsidRDefault="00B3075F" w:rsidP="003F48BC">
            <w:pPr>
              <w:pStyle w:val="Wramce"/>
              <w:spacing w:before="100" w:after="60"/>
            </w:pPr>
            <w:r w:rsidRPr="00F86CE2">
              <w:t>próba rozwiązania</w:t>
            </w:r>
          </w:p>
        </w:tc>
        <w:tc>
          <w:tcPr>
            <w:tcW w:w="1087" w:type="pct"/>
            <w:tcBorders>
              <w:left w:val="nil"/>
              <w:right w:val="nil"/>
            </w:tcBorders>
          </w:tcPr>
          <w:p w:rsidR="00B3075F" w:rsidRPr="00F86CE2" w:rsidRDefault="00B3075F" w:rsidP="003F48BC">
            <w:pPr>
              <w:pStyle w:val="Wramce"/>
              <w:spacing w:before="100" w:after="60"/>
              <w:jc w:val="center"/>
            </w:pPr>
            <w:r w:rsidRPr="00F86CE2">
              <w:t>16,7</w:t>
            </w:r>
            <w:r>
              <w:t>1</w:t>
            </w:r>
          </w:p>
        </w:tc>
        <w:tc>
          <w:tcPr>
            <w:tcW w:w="652" w:type="pct"/>
            <w:tcBorders>
              <w:left w:val="nil"/>
              <w:right w:val="nil"/>
            </w:tcBorders>
          </w:tcPr>
          <w:p w:rsidR="00B3075F" w:rsidRPr="00F86CE2" w:rsidRDefault="00B3075F" w:rsidP="003F48BC">
            <w:pPr>
              <w:pStyle w:val="Wramce"/>
              <w:spacing w:before="100" w:after="60"/>
              <w:jc w:val="center"/>
            </w:pPr>
            <w:r w:rsidRPr="00F86CE2">
              <w:t>1</w:t>
            </w:r>
          </w:p>
        </w:tc>
        <w:tc>
          <w:tcPr>
            <w:tcW w:w="1196" w:type="pct"/>
            <w:tcBorders>
              <w:left w:val="nil"/>
              <w:right w:val="nil"/>
            </w:tcBorders>
          </w:tcPr>
          <w:p w:rsidR="00B3075F" w:rsidRPr="00F86CE2" w:rsidRDefault="00B3075F" w:rsidP="003F48BC">
            <w:pPr>
              <w:pStyle w:val="Wramce"/>
              <w:spacing w:before="100" w:after="60"/>
              <w:jc w:val="center"/>
            </w:pPr>
            <w:r w:rsidRPr="00F86CE2">
              <w:t>0,0</w:t>
            </w:r>
            <w:r>
              <w:t>1</w:t>
            </w:r>
          </w:p>
        </w:tc>
      </w:tr>
      <w:tr w:rsidR="00B3075F" w:rsidRPr="00F86CE2" w:rsidTr="003F48BC">
        <w:trPr>
          <w:trHeight w:val="273"/>
        </w:trPr>
        <w:tc>
          <w:tcPr>
            <w:tcW w:w="2065" w:type="pct"/>
            <w:tcBorders>
              <w:left w:val="nil"/>
              <w:right w:val="nil"/>
            </w:tcBorders>
          </w:tcPr>
          <w:p w:rsidR="00B3075F" w:rsidRPr="00F86CE2" w:rsidRDefault="00B3075F" w:rsidP="003F48BC">
            <w:pPr>
              <w:pStyle w:val="Wramce"/>
              <w:spacing w:before="100" w:after="60"/>
            </w:pPr>
            <w:r>
              <w:t>rysunek</w:t>
            </w:r>
          </w:p>
        </w:tc>
        <w:tc>
          <w:tcPr>
            <w:tcW w:w="1087" w:type="pct"/>
            <w:tcBorders>
              <w:left w:val="nil"/>
              <w:right w:val="nil"/>
            </w:tcBorders>
          </w:tcPr>
          <w:p w:rsidR="00B3075F" w:rsidRPr="00F86CE2" w:rsidRDefault="00B3075F" w:rsidP="003F48BC">
            <w:pPr>
              <w:pStyle w:val="Wramce"/>
              <w:spacing w:before="100" w:after="60"/>
              <w:jc w:val="center"/>
            </w:pPr>
            <w:r w:rsidRPr="00F86CE2">
              <w:t>32,3</w:t>
            </w:r>
            <w:r>
              <w:t>1</w:t>
            </w:r>
          </w:p>
        </w:tc>
        <w:tc>
          <w:tcPr>
            <w:tcW w:w="652" w:type="pct"/>
            <w:tcBorders>
              <w:left w:val="nil"/>
              <w:right w:val="nil"/>
            </w:tcBorders>
          </w:tcPr>
          <w:p w:rsidR="00B3075F" w:rsidRPr="00F86CE2" w:rsidRDefault="00B3075F" w:rsidP="003F48BC">
            <w:pPr>
              <w:pStyle w:val="Wramce"/>
              <w:spacing w:before="100" w:after="60"/>
              <w:jc w:val="center"/>
            </w:pPr>
            <w:r w:rsidRPr="00F86CE2">
              <w:t>1</w:t>
            </w:r>
          </w:p>
        </w:tc>
        <w:tc>
          <w:tcPr>
            <w:tcW w:w="1196" w:type="pct"/>
            <w:tcBorders>
              <w:left w:val="nil"/>
              <w:right w:val="nil"/>
            </w:tcBorders>
          </w:tcPr>
          <w:p w:rsidR="00B3075F" w:rsidRPr="00F86CE2" w:rsidRDefault="00B3075F" w:rsidP="003F48BC">
            <w:pPr>
              <w:pStyle w:val="Wramce"/>
              <w:spacing w:before="100" w:after="60"/>
              <w:jc w:val="center"/>
            </w:pPr>
            <w:r w:rsidRPr="00F86CE2">
              <w:t>0,0</w:t>
            </w:r>
            <w:r>
              <w:t>1</w:t>
            </w:r>
          </w:p>
        </w:tc>
      </w:tr>
      <w:tr w:rsidR="00B3075F" w:rsidRPr="00F86CE2" w:rsidTr="003F48BC">
        <w:trPr>
          <w:trHeight w:val="273"/>
        </w:trPr>
        <w:tc>
          <w:tcPr>
            <w:tcW w:w="2065" w:type="pct"/>
            <w:tcBorders>
              <w:left w:val="nil"/>
              <w:right w:val="nil"/>
            </w:tcBorders>
          </w:tcPr>
          <w:p w:rsidR="00B3075F" w:rsidRPr="00F86CE2" w:rsidRDefault="00B3075F" w:rsidP="003F48BC">
            <w:pPr>
              <w:pStyle w:val="Wramce"/>
              <w:spacing w:before="100" w:after="60"/>
            </w:pPr>
            <w:r w:rsidRPr="00F86CE2">
              <w:t>wypisan</w:t>
            </w:r>
            <w:r>
              <w:t>ie danych</w:t>
            </w:r>
          </w:p>
        </w:tc>
        <w:tc>
          <w:tcPr>
            <w:tcW w:w="1087" w:type="pct"/>
            <w:tcBorders>
              <w:left w:val="nil"/>
              <w:right w:val="nil"/>
            </w:tcBorders>
          </w:tcPr>
          <w:p w:rsidR="00B3075F" w:rsidRPr="00F86CE2" w:rsidRDefault="00B3075F" w:rsidP="003F48BC">
            <w:pPr>
              <w:pStyle w:val="Wramce"/>
              <w:spacing w:before="100" w:after="60"/>
              <w:jc w:val="center"/>
            </w:pPr>
            <w:r w:rsidRPr="00F86CE2">
              <w:t>39,</w:t>
            </w:r>
            <w:r>
              <w:t>10</w:t>
            </w:r>
          </w:p>
        </w:tc>
        <w:tc>
          <w:tcPr>
            <w:tcW w:w="652" w:type="pct"/>
            <w:tcBorders>
              <w:left w:val="nil"/>
              <w:right w:val="nil"/>
            </w:tcBorders>
          </w:tcPr>
          <w:p w:rsidR="00B3075F" w:rsidRPr="00F86CE2" w:rsidRDefault="00B3075F" w:rsidP="003F48BC">
            <w:pPr>
              <w:pStyle w:val="Wramce"/>
              <w:spacing w:before="100" w:after="60"/>
              <w:jc w:val="center"/>
            </w:pPr>
            <w:r w:rsidRPr="00F86CE2">
              <w:t>1</w:t>
            </w:r>
          </w:p>
        </w:tc>
        <w:tc>
          <w:tcPr>
            <w:tcW w:w="1196" w:type="pct"/>
            <w:tcBorders>
              <w:left w:val="nil"/>
              <w:right w:val="nil"/>
            </w:tcBorders>
          </w:tcPr>
          <w:p w:rsidR="00B3075F" w:rsidRPr="00F86CE2" w:rsidRDefault="00B3075F" w:rsidP="003F48BC">
            <w:pPr>
              <w:pStyle w:val="Wramce"/>
              <w:spacing w:before="100" w:after="60"/>
              <w:jc w:val="center"/>
            </w:pPr>
            <w:r w:rsidRPr="00F86CE2">
              <w:t>0,0</w:t>
            </w:r>
            <w:r>
              <w:t>1</w:t>
            </w:r>
          </w:p>
        </w:tc>
      </w:tr>
    </w:tbl>
    <w:p w:rsidR="00B3075F" w:rsidRDefault="00B3075F" w:rsidP="00B3075F"/>
    <w:p w:rsidR="00B3075F" w:rsidRDefault="00B3075F" w:rsidP="00B3075F">
      <w:r>
        <w:t xml:space="preserve">Rezultaty uzyskane w niniejszym badaniu potwierdzają istotność kompetencji </w:t>
      </w:r>
      <w:proofErr w:type="spellStart"/>
      <w:r>
        <w:t>metapoznawczych</w:t>
      </w:r>
      <w:proofErr w:type="spellEnd"/>
      <w:r>
        <w:t xml:space="preserve"> w rozwijaniu umiejętności szkolnych gdyż aktywują do myślenia co w rezultacie prowadzi do poprawy wyników w nauce (</w:t>
      </w:r>
      <w:proofErr w:type="spellStart"/>
      <w:r>
        <w:t>Andreson</w:t>
      </w:r>
      <w:proofErr w:type="spellEnd"/>
      <w:r>
        <w:t>, 2002)</w:t>
      </w:r>
    </w:p>
    <w:p w:rsidR="00B3075F" w:rsidRPr="00E7571C" w:rsidRDefault="00B3075F" w:rsidP="00B3075F">
      <w:pPr>
        <w:pStyle w:val="Heading2"/>
      </w:pPr>
      <w:bookmarkStart w:id="23" w:name="_Toc302846906"/>
      <w:r w:rsidRPr="00E7571C">
        <w:t xml:space="preserve">Wpływ aktywizacji </w:t>
      </w:r>
      <w:proofErr w:type="spellStart"/>
      <w:r w:rsidRPr="00E7571C">
        <w:t>metapoznawczej</w:t>
      </w:r>
      <w:proofErr w:type="spellEnd"/>
      <w:r w:rsidRPr="00E7571C">
        <w:t xml:space="preserve"> na osiągnięte wyniki</w:t>
      </w:r>
      <w:bookmarkEnd w:id="23"/>
    </w:p>
    <w:p w:rsidR="00B3075F" w:rsidRPr="00A30F28" w:rsidRDefault="00B3075F" w:rsidP="00B3075F">
      <w:r>
        <w:t xml:space="preserve">W niniejszym podrozdziale omówione zostaną wyniki badań testujących hipotezę H3, a mianowicie związek pomiędzy skutecznością w rozwiązywaniu zadań a aktywizacją </w:t>
      </w:r>
      <w:proofErr w:type="spellStart"/>
      <w:r>
        <w:t>metapoznawczą</w:t>
      </w:r>
      <w:proofErr w:type="spellEnd"/>
      <w:r>
        <w:t xml:space="preserve">  za pomocą </w:t>
      </w:r>
      <w:r>
        <w:rPr>
          <w:i/>
        </w:rPr>
        <w:t>K</w:t>
      </w:r>
      <w:r w:rsidRPr="00871103">
        <w:rPr>
          <w:i/>
        </w:rPr>
        <w:t>westionariusz</w:t>
      </w:r>
      <w:r>
        <w:rPr>
          <w:i/>
        </w:rPr>
        <w:t xml:space="preserve">a </w:t>
      </w:r>
      <w:r w:rsidRPr="00871103">
        <w:rPr>
          <w:i/>
        </w:rPr>
        <w:t xml:space="preserve"> </w:t>
      </w:r>
      <w:proofErr w:type="spellStart"/>
      <w:r w:rsidRPr="00871103">
        <w:rPr>
          <w:i/>
        </w:rPr>
        <w:t>Zachowań</w:t>
      </w:r>
      <w:proofErr w:type="spellEnd"/>
      <w:r w:rsidRPr="00871103">
        <w:rPr>
          <w:i/>
        </w:rPr>
        <w:t xml:space="preserve"> </w:t>
      </w:r>
      <w:proofErr w:type="spellStart"/>
      <w:r w:rsidRPr="00871103">
        <w:rPr>
          <w:i/>
        </w:rPr>
        <w:t>Metapoznawczych</w:t>
      </w:r>
      <w:proofErr w:type="spellEnd"/>
    </w:p>
    <w:p w:rsidR="00B3075F" w:rsidRDefault="00B3075F" w:rsidP="00B3075F">
      <w:r w:rsidRPr="00F86CE2">
        <w:t>Porównując grupę eksperymentalną</w:t>
      </w:r>
      <w:r>
        <w:t>,</w:t>
      </w:r>
      <w:r w:rsidRPr="00F86CE2">
        <w:t xml:space="preserve"> </w:t>
      </w:r>
      <w:r>
        <w:t xml:space="preserve">która wypełniała kwestionariusz za pomocą, którego próbowano uczniów zaktywizować </w:t>
      </w:r>
      <w:proofErr w:type="spellStart"/>
      <w:r>
        <w:t>metapoznawczo</w:t>
      </w:r>
      <w:proofErr w:type="spellEnd"/>
      <w:r w:rsidRPr="00F86CE2">
        <w:t xml:space="preserve"> </w:t>
      </w:r>
      <w:r>
        <w:t>z</w:t>
      </w:r>
      <w:r w:rsidRPr="00F86CE2">
        <w:t xml:space="preserve"> grupą kontrolną stwierdzono istotną statystyczną różnicę między grupami. Powyższy wynik pozwala odrzucić hipotezę zerową, głoszącej, że uczniowie z podobną częstością rozwiążą zadania w obu grupach [</w:t>
      </w:r>
      <w:r>
        <w:t xml:space="preserve">chi kw. </w:t>
      </w:r>
      <w:r w:rsidRPr="00F86CE2">
        <w:t xml:space="preserve">(1)=6,62 ; p&lt;0,05]. </w:t>
      </w:r>
      <w:r>
        <w:t xml:space="preserve">Analiza ta falsyfikuje hipotezę H3. </w:t>
      </w:r>
      <w:r w:rsidRPr="00F86CE2">
        <w:t xml:space="preserve">Wynika z tego, że uczniowie w grupie kontrolnej lepiej poradzili sobie z rozwiązaniem zadania niż w grupie eksperymentalnej </w:t>
      </w:r>
      <w:r>
        <w:t xml:space="preserve">z aktywizacją </w:t>
      </w:r>
      <w:proofErr w:type="spellStart"/>
      <w:r>
        <w:t>metapoznawczą</w:t>
      </w:r>
      <w:proofErr w:type="spellEnd"/>
      <w:r>
        <w:t xml:space="preserve">. Jest to wynik bardzo zaskakujący. Pierwotnym założeniem tego badania było to, że za pomocą pytań </w:t>
      </w:r>
      <w:proofErr w:type="spellStart"/>
      <w:r>
        <w:t>metapoznawczych</w:t>
      </w:r>
      <w:proofErr w:type="spellEnd"/>
      <w:r>
        <w:t xml:space="preserve"> można uczniów zaktywizować </w:t>
      </w:r>
      <w:proofErr w:type="spellStart"/>
      <w:r>
        <w:t>metapoznawczo</w:t>
      </w:r>
      <w:proofErr w:type="spellEnd"/>
      <w:r>
        <w:t xml:space="preserve"> i wpłynąć w ten sposób na wzrost kompetencji w zmierzeniu się z sytuacja nietypową i trudną. Wynik ten pokazał, że ankieta stała się czynnikiem zakłócającym i uczniowie nie poradzili sobie rozwiązaniem zadań. Zagadnienie to było już rozpatrywane we wcześniejszych rozdziałach (3.1 i 3.2).</w:t>
      </w:r>
    </w:p>
    <w:p w:rsidR="00B3075F" w:rsidRDefault="00B3075F" w:rsidP="00B3075F">
      <w:pPr>
        <w:pStyle w:val="PodpisTabeli"/>
      </w:pPr>
      <w:r>
        <w:rPr>
          <w:noProof/>
          <w:lang w:val="en-US"/>
        </w:rPr>
        <w:drawing>
          <wp:inline distT="0" distB="0" distL="0" distR="0">
            <wp:extent cx="5689600" cy="28194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075F" w:rsidRPr="00732379" w:rsidRDefault="00B3075F" w:rsidP="00B3075F">
      <w:pPr>
        <w:pStyle w:val="Podpisrysunku"/>
      </w:pPr>
      <w:r w:rsidRPr="007374EA">
        <w:rPr>
          <w:i/>
        </w:rPr>
        <w:t>Rysunek 6</w:t>
      </w:r>
      <w:r w:rsidRPr="00732379">
        <w:t xml:space="preserve">. </w:t>
      </w:r>
      <w:r w:rsidRPr="000C4858">
        <w:t>Porównanie grupy „z aktywizacją” i kontrolnej w rozwiązaniu zadań.</w:t>
      </w:r>
    </w:p>
    <w:p w:rsidR="00B3075F" w:rsidRDefault="00B3075F" w:rsidP="00B3075F">
      <w:r w:rsidRPr="00F86CE2">
        <w:t xml:space="preserve">Porównanie grupy eksperymentalnej </w:t>
      </w:r>
      <w:r>
        <w:t>„z aktywizacją”</w:t>
      </w:r>
      <w:r w:rsidRPr="00F86CE2">
        <w:t xml:space="preserve"> z grupą kontrolną w</w:t>
      </w:r>
      <w:r>
        <w:t xml:space="preserve"> liczbie</w:t>
      </w:r>
      <w:r w:rsidRPr="00F86CE2">
        <w:t xml:space="preserve"> prób rozwiązania zadania, umiejętności wypisania danych z zadania</w:t>
      </w:r>
      <w:r>
        <w:t xml:space="preserve"> i</w:t>
      </w:r>
      <w:r w:rsidRPr="00F86CE2">
        <w:t xml:space="preserve"> posługiwania się rysunkiem jako strategią pomocną w rozwiązaniu problemu pokazuje </w:t>
      </w:r>
      <w:r>
        <w:t>brak istotnych różnic</w:t>
      </w:r>
      <w:r w:rsidRPr="00F86CE2">
        <w:t xml:space="preserve"> pomiędzy </w:t>
      </w:r>
      <w:r>
        <w:t>tymi</w:t>
      </w:r>
      <w:r w:rsidRPr="00F86CE2">
        <w:t xml:space="preserve"> g</w:t>
      </w:r>
      <w:r>
        <w:t xml:space="preserve">rupami </w:t>
      </w:r>
      <w:r w:rsidRPr="00F86CE2">
        <w:t>(</w:t>
      </w:r>
      <w:r>
        <w:t>T</w:t>
      </w:r>
      <w:r w:rsidRPr="00F86CE2">
        <w:t xml:space="preserve">abela </w:t>
      </w:r>
      <w:r>
        <w:t>9</w:t>
      </w:r>
      <w:r w:rsidRPr="00F86CE2">
        <w:t>)</w:t>
      </w:r>
      <w:r>
        <w:t>. Zmienna dotycząca wypisania danych znajduje się na granicy istotności – zwykle w przypadku rozwiązania zadania wypisywano również dane. Nasuwa to podejrzenie, że „standardowy” uczeń najpierw („w głowie”, w brudnopisie) rozwiązuje zadanie, a jak mu się uda, zapisuje pisemnie rozwiązanie (wyprowadzenia wzorów i obliczenia), którego elementem jest między innymi wypisanie danych. Kontrastuje to z podejściem grupy „z treningiem”, która wypisywanie danych traktuje jako element strategii rozwiązywania zadań – dokładniej rozpatrywano to w rozdziale 3.2.</w:t>
      </w:r>
    </w:p>
    <w:p w:rsidR="00B3075F" w:rsidRDefault="00B3075F" w:rsidP="00B3075F">
      <w:r>
        <w:t>Ciekawe, że grupa „z aktywizacją jest „lepsza” tylko pod względem wykonywania rysunków – prawdopodobnie dlatego, że w ankiecie jawnie pojawia się pytanie o rysunek. Mimo wszystko różnica ta nie okazała się istotna statystycznie, co więcej nie wpłynęła na końcowe wyniki członków grupy. Tak więc nie wystarczy wiedzieć, że trzeba zrobić rysunek, ale trzeba umieć się też nim posługiwać.</w:t>
      </w:r>
    </w:p>
    <w:p w:rsidR="00B3075F" w:rsidRDefault="00B3075F" w:rsidP="00B3075F">
      <w:r>
        <w:t>W obu omawianych grupach (kontrolna i eksperymentalna „z aktywizacją”) ilość rozwiązanych zadań była bardzo niska. Podobnie wyglądały rozkłady zmiennych „próba rozwiązania”, „rysunek” i „dane”. Wskazuje to, że w przypadku zadań otwartych, choć nie wykraczających poza zakres standardowego materiału szkolnego, obie grupy miały poważne kłopoty z ich rozwiązywaniem.</w:t>
      </w:r>
    </w:p>
    <w:p w:rsidR="00B3075F" w:rsidRDefault="00B3075F" w:rsidP="00B3075F"/>
    <w:p w:rsidR="00B3075F" w:rsidRDefault="00B3075F" w:rsidP="00B3075F">
      <w:pPr>
        <w:pStyle w:val="PodpisTabeli"/>
      </w:pPr>
      <w:r w:rsidRPr="00732379">
        <w:t xml:space="preserve">Tabela </w:t>
      </w:r>
      <w:r>
        <w:t>9</w:t>
      </w:r>
    </w:p>
    <w:p w:rsidR="00B3075F" w:rsidRPr="007374EA" w:rsidRDefault="00B3075F" w:rsidP="00B3075F">
      <w:pPr>
        <w:pStyle w:val="PodpisTabeli"/>
        <w:rPr>
          <w:i/>
        </w:rPr>
      </w:pPr>
      <w:r w:rsidRPr="007374EA">
        <w:rPr>
          <w:i/>
        </w:rPr>
        <w:t>Wyniki testu Chi kwadrat Pearsona- różnice w wykonaniu zadań pomiędzy grupą eksperymentalną „z aktywizacją” i grupą kontrolną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1512"/>
        <w:gridCol w:w="1297"/>
        <w:gridCol w:w="2376"/>
      </w:tblGrid>
      <w:tr w:rsidR="00B3075F" w:rsidRPr="00F86CE2" w:rsidTr="003F48BC">
        <w:trPr>
          <w:trHeight w:val="964"/>
        </w:trPr>
        <w:tc>
          <w:tcPr>
            <w:tcW w:w="2209" w:type="pct"/>
            <w:tcBorders>
              <w:left w:val="nil"/>
              <w:right w:val="nil"/>
            </w:tcBorders>
          </w:tcPr>
          <w:p w:rsidR="00B3075F" w:rsidRPr="00F86CE2" w:rsidRDefault="00B3075F" w:rsidP="003F48BC">
            <w:pPr>
              <w:pStyle w:val="Wramce"/>
              <w:spacing w:before="100" w:after="60"/>
              <w:jc w:val="center"/>
            </w:pPr>
            <w:r>
              <w:t>wskaźniki rozwiązania zadania</w:t>
            </w:r>
          </w:p>
        </w:tc>
        <w:tc>
          <w:tcPr>
            <w:tcW w:w="814" w:type="pct"/>
            <w:tcBorders>
              <w:left w:val="nil"/>
              <w:right w:val="nil"/>
            </w:tcBorders>
          </w:tcPr>
          <w:p w:rsidR="00B3075F" w:rsidRPr="00F86CE2" w:rsidRDefault="00B3075F" w:rsidP="003F48BC">
            <w:pPr>
              <w:pStyle w:val="Wramce"/>
              <w:spacing w:before="100" w:after="60"/>
              <w:jc w:val="center"/>
            </w:pPr>
            <w:r w:rsidRPr="00F86CE2">
              <w:t>Chi-kwadrat Pearsona</w:t>
            </w:r>
            <w:r w:rsidRPr="00F86CE2">
              <w:br/>
              <w:t>(wartość)</w:t>
            </w:r>
          </w:p>
        </w:tc>
        <w:tc>
          <w:tcPr>
            <w:tcW w:w="698" w:type="pct"/>
            <w:tcBorders>
              <w:left w:val="nil"/>
              <w:right w:val="nil"/>
            </w:tcBorders>
          </w:tcPr>
          <w:p w:rsidR="00B3075F" w:rsidRPr="00F86CE2" w:rsidRDefault="00B3075F" w:rsidP="003F48BC">
            <w:pPr>
              <w:pStyle w:val="Wramce"/>
              <w:spacing w:before="100" w:after="60"/>
              <w:jc w:val="center"/>
            </w:pPr>
            <w:proofErr w:type="spellStart"/>
            <w:r w:rsidRPr="00F86CE2">
              <w:t>df</w:t>
            </w:r>
            <w:proofErr w:type="spellEnd"/>
          </w:p>
        </w:tc>
        <w:tc>
          <w:tcPr>
            <w:tcW w:w="1279" w:type="pct"/>
            <w:tcBorders>
              <w:left w:val="nil"/>
              <w:right w:val="nil"/>
            </w:tcBorders>
          </w:tcPr>
          <w:p w:rsidR="00B3075F" w:rsidRPr="00F86CE2" w:rsidRDefault="00B3075F" w:rsidP="003F48BC">
            <w:pPr>
              <w:pStyle w:val="Wramce"/>
              <w:spacing w:before="100" w:after="60"/>
              <w:jc w:val="center"/>
            </w:pPr>
            <w:r w:rsidRPr="00F86CE2">
              <w:t>Istotność asymptotyczna (dwustronna)</w:t>
            </w:r>
          </w:p>
        </w:tc>
      </w:tr>
      <w:tr w:rsidR="00B3075F" w:rsidRPr="00F86CE2" w:rsidTr="003F48BC">
        <w:trPr>
          <w:trHeight w:val="273"/>
        </w:trPr>
        <w:tc>
          <w:tcPr>
            <w:tcW w:w="2209" w:type="pct"/>
            <w:tcBorders>
              <w:left w:val="nil"/>
              <w:right w:val="nil"/>
            </w:tcBorders>
          </w:tcPr>
          <w:p w:rsidR="00B3075F" w:rsidRPr="00F86CE2" w:rsidRDefault="00B3075F" w:rsidP="003F48BC">
            <w:pPr>
              <w:pStyle w:val="Wramce"/>
              <w:spacing w:before="100" w:after="60"/>
            </w:pPr>
            <w:r w:rsidRPr="00F86CE2">
              <w:t xml:space="preserve"> próba rozwiązania</w:t>
            </w:r>
          </w:p>
        </w:tc>
        <w:tc>
          <w:tcPr>
            <w:tcW w:w="814" w:type="pct"/>
            <w:tcBorders>
              <w:left w:val="nil"/>
              <w:right w:val="nil"/>
            </w:tcBorders>
          </w:tcPr>
          <w:p w:rsidR="00B3075F" w:rsidRPr="00F86CE2" w:rsidRDefault="00B3075F" w:rsidP="003F48BC">
            <w:pPr>
              <w:pStyle w:val="Wramce"/>
              <w:spacing w:before="100" w:after="60"/>
            </w:pPr>
            <w:r>
              <w:t>0,25</w:t>
            </w:r>
          </w:p>
        </w:tc>
        <w:tc>
          <w:tcPr>
            <w:tcW w:w="698" w:type="pct"/>
            <w:tcBorders>
              <w:left w:val="nil"/>
              <w:right w:val="nil"/>
            </w:tcBorders>
          </w:tcPr>
          <w:p w:rsidR="00B3075F" w:rsidRPr="00F86CE2" w:rsidRDefault="00B3075F" w:rsidP="003F48BC">
            <w:pPr>
              <w:pStyle w:val="Wramce"/>
              <w:spacing w:before="100" w:after="60"/>
            </w:pPr>
            <w:r w:rsidRPr="00F86CE2">
              <w:t>1</w:t>
            </w:r>
          </w:p>
        </w:tc>
        <w:tc>
          <w:tcPr>
            <w:tcW w:w="1279" w:type="pct"/>
            <w:tcBorders>
              <w:left w:val="nil"/>
              <w:right w:val="nil"/>
            </w:tcBorders>
          </w:tcPr>
          <w:p w:rsidR="00B3075F" w:rsidRPr="00F86CE2" w:rsidRDefault="00B3075F" w:rsidP="003F48BC">
            <w:pPr>
              <w:pStyle w:val="Wramce"/>
              <w:spacing w:before="100" w:after="60"/>
            </w:pPr>
            <w:r>
              <w:t>0,62</w:t>
            </w:r>
          </w:p>
        </w:tc>
      </w:tr>
      <w:tr w:rsidR="00B3075F" w:rsidRPr="00F86CE2" w:rsidTr="003F48BC">
        <w:trPr>
          <w:trHeight w:val="273"/>
        </w:trPr>
        <w:tc>
          <w:tcPr>
            <w:tcW w:w="2209" w:type="pct"/>
            <w:tcBorders>
              <w:left w:val="nil"/>
              <w:right w:val="nil"/>
            </w:tcBorders>
          </w:tcPr>
          <w:p w:rsidR="00B3075F" w:rsidRPr="00F86CE2" w:rsidRDefault="00B3075F" w:rsidP="003F48BC">
            <w:pPr>
              <w:pStyle w:val="Wramce"/>
              <w:spacing w:before="100" w:after="60"/>
            </w:pPr>
            <w:r w:rsidRPr="00F86CE2">
              <w:t>Rysunek</w:t>
            </w:r>
          </w:p>
        </w:tc>
        <w:tc>
          <w:tcPr>
            <w:tcW w:w="814" w:type="pct"/>
            <w:tcBorders>
              <w:left w:val="nil"/>
              <w:right w:val="nil"/>
            </w:tcBorders>
          </w:tcPr>
          <w:p w:rsidR="00B3075F" w:rsidRPr="00F86CE2" w:rsidRDefault="00B3075F" w:rsidP="003F48BC">
            <w:pPr>
              <w:pStyle w:val="Wramce"/>
              <w:spacing w:before="100" w:after="60"/>
            </w:pPr>
            <w:r>
              <w:t>1,94</w:t>
            </w:r>
          </w:p>
        </w:tc>
        <w:tc>
          <w:tcPr>
            <w:tcW w:w="698" w:type="pct"/>
            <w:tcBorders>
              <w:left w:val="nil"/>
              <w:right w:val="nil"/>
            </w:tcBorders>
          </w:tcPr>
          <w:p w:rsidR="00B3075F" w:rsidRPr="00F86CE2" w:rsidRDefault="00B3075F" w:rsidP="003F48BC">
            <w:pPr>
              <w:pStyle w:val="Wramce"/>
              <w:spacing w:before="100" w:after="60"/>
            </w:pPr>
            <w:r w:rsidRPr="00F86CE2">
              <w:t>1</w:t>
            </w:r>
          </w:p>
        </w:tc>
        <w:tc>
          <w:tcPr>
            <w:tcW w:w="1279" w:type="pct"/>
            <w:tcBorders>
              <w:left w:val="nil"/>
              <w:right w:val="nil"/>
            </w:tcBorders>
          </w:tcPr>
          <w:p w:rsidR="00B3075F" w:rsidRPr="00F86CE2" w:rsidRDefault="00B3075F" w:rsidP="003F48BC">
            <w:pPr>
              <w:pStyle w:val="Wramce"/>
              <w:spacing w:before="100" w:after="60"/>
            </w:pPr>
            <w:r>
              <w:t>0,16</w:t>
            </w:r>
          </w:p>
        </w:tc>
      </w:tr>
      <w:tr w:rsidR="00B3075F" w:rsidRPr="00F86CE2" w:rsidTr="003F48BC">
        <w:trPr>
          <w:trHeight w:val="273"/>
        </w:trPr>
        <w:tc>
          <w:tcPr>
            <w:tcW w:w="2209" w:type="pct"/>
            <w:tcBorders>
              <w:left w:val="nil"/>
              <w:right w:val="nil"/>
            </w:tcBorders>
          </w:tcPr>
          <w:p w:rsidR="00B3075F" w:rsidRPr="00F86CE2" w:rsidRDefault="00B3075F" w:rsidP="003F48BC">
            <w:pPr>
              <w:pStyle w:val="Wramce"/>
              <w:spacing w:before="100" w:after="60"/>
            </w:pPr>
            <w:r>
              <w:t xml:space="preserve">wypisywanie </w:t>
            </w:r>
            <w:r w:rsidRPr="00F86CE2">
              <w:t>dan</w:t>
            </w:r>
            <w:r>
              <w:t>ych</w:t>
            </w:r>
          </w:p>
        </w:tc>
        <w:tc>
          <w:tcPr>
            <w:tcW w:w="814" w:type="pct"/>
            <w:tcBorders>
              <w:left w:val="nil"/>
              <w:right w:val="nil"/>
            </w:tcBorders>
          </w:tcPr>
          <w:p w:rsidR="00B3075F" w:rsidRPr="00F86CE2" w:rsidRDefault="00B3075F" w:rsidP="003F48BC">
            <w:pPr>
              <w:pStyle w:val="Wramce"/>
              <w:spacing w:before="100" w:after="60"/>
            </w:pPr>
            <w:r>
              <w:t>4,01</w:t>
            </w:r>
          </w:p>
        </w:tc>
        <w:tc>
          <w:tcPr>
            <w:tcW w:w="698" w:type="pct"/>
            <w:tcBorders>
              <w:left w:val="nil"/>
              <w:right w:val="nil"/>
            </w:tcBorders>
          </w:tcPr>
          <w:p w:rsidR="00B3075F" w:rsidRPr="00F86CE2" w:rsidRDefault="00B3075F" w:rsidP="003F48BC">
            <w:pPr>
              <w:pStyle w:val="Wramce"/>
              <w:spacing w:before="100" w:after="60"/>
            </w:pPr>
            <w:r w:rsidRPr="00F86CE2">
              <w:t>1</w:t>
            </w:r>
          </w:p>
        </w:tc>
        <w:tc>
          <w:tcPr>
            <w:tcW w:w="1279" w:type="pct"/>
            <w:tcBorders>
              <w:left w:val="nil"/>
              <w:right w:val="nil"/>
            </w:tcBorders>
          </w:tcPr>
          <w:p w:rsidR="00B3075F" w:rsidRPr="00F86CE2" w:rsidRDefault="00B3075F" w:rsidP="003F48BC">
            <w:pPr>
              <w:pStyle w:val="Wramce"/>
              <w:spacing w:before="100" w:after="60"/>
            </w:pPr>
            <w:r w:rsidRPr="00F86CE2">
              <w:t>0,0</w:t>
            </w:r>
            <w:r>
              <w:t>5</w:t>
            </w:r>
          </w:p>
        </w:tc>
      </w:tr>
    </w:tbl>
    <w:p w:rsidR="00B3075F" w:rsidRDefault="00B3075F" w:rsidP="00B3075F"/>
    <w:p w:rsidR="00B3075F" w:rsidRDefault="00B3075F" w:rsidP="00B3075F">
      <w:r>
        <w:t xml:space="preserve">Co prawda okazało się, że grupy kontrolna i ta poddana treningowi </w:t>
      </w:r>
      <w:proofErr w:type="spellStart"/>
      <w:r>
        <w:t>metapoznawczemu</w:t>
      </w:r>
      <w:proofErr w:type="spellEnd"/>
      <w:r>
        <w:t xml:space="preserve"> różnią się dla dwóch zmiennych, ale inaczej niż można by się spodziewać – grupa kontrolna osiągnęła lepsze wyniki. Mimo to należałoby być ostrożnym w formułowaniu ogólniejszych wniosków – być może przy nieznacznie inaczej sformułowanych pytaniach formularza ich odbiór byłby łatwiejszy, a wpływ samego formularza zamiast przeszkadzać mógłby pomóc. </w:t>
      </w:r>
    </w:p>
    <w:p w:rsidR="00B3075F" w:rsidRPr="008E51AA" w:rsidRDefault="00B3075F" w:rsidP="00B3075F">
      <w:pPr>
        <w:pStyle w:val="Heading1"/>
      </w:pPr>
      <w:r w:rsidRPr="008E51AA">
        <w:br w:type="page"/>
      </w:r>
      <w:bookmarkStart w:id="24" w:name="_Toc302846907"/>
      <w:r>
        <w:t>Wnioski z badań i d</w:t>
      </w:r>
      <w:r w:rsidRPr="008E51AA">
        <w:t>yskusja wyników</w:t>
      </w:r>
      <w:bookmarkEnd w:id="24"/>
    </w:p>
    <w:p w:rsidR="00B3075F" w:rsidRDefault="00B3075F" w:rsidP="00B3075F">
      <w:r>
        <w:t xml:space="preserve">Prezentowane wyniki badań miały na celu określenie zależności pomiędzy sukcesem w rozwiązaniu zadania problemowego z fizyki, a wskaźnikami kompetencji </w:t>
      </w:r>
      <w:proofErr w:type="spellStart"/>
      <w:r>
        <w:t>metapoznawczych</w:t>
      </w:r>
      <w:proofErr w:type="spellEnd"/>
      <w:r>
        <w:t>. W tym celu postawiono 3 problemy badawcze.</w:t>
      </w:r>
    </w:p>
    <w:p w:rsidR="00B3075F" w:rsidRDefault="00B3075F" w:rsidP="00B3075F">
      <w:pPr>
        <w:ind w:firstLine="708"/>
      </w:pPr>
      <w:r>
        <w:t xml:space="preserve">Pierwszy pytał o wpływ kompetencji </w:t>
      </w:r>
      <w:proofErr w:type="spellStart"/>
      <w:r>
        <w:t>metapoznawczych</w:t>
      </w:r>
      <w:proofErr w:type="spellEnd"/>
      <w:r>
        <w:t xml:space="preserve"> na poziom wyników rozwiązywanych zadań. Ze względu na trudności jakie w grupie „z aktywizacją” sprawił formularz, skoncentrowano się na grupie, która przeszła trening </w:t>
      </w:r>
      <w:proofErr w:type="spellStart"/>
      <w:r>
        <w:t>metapoznawczy</w:t>
      </w:r>
      <w:proofErr w:type="spellEnd"/>
      <w:r>
        <w:t>. W badanej grupie gimnazjalistów istotne dla powodzenia w rozwiązaniu zadania okazały się</w:t>
      </w:r>
      <w:r w:rsidRPr="009E4B6D">
        <w:t xml:space="preserve"> kompetencje </w:t>
      </w:r>
      <w:proofErr w:type="spellStart"/>
      <w:r w:rsidRPr="009E4B6D">
        <w:t>metapoz</w:t>
      </w:r>
      <w:r>
        <w:t>naw</w:t>
      </w:r>
      <w:r w:rsidRPr="009E4B6D">
        <w:t>cze</w:t>
      </w:r>
      <w:proofErr w:type="spellEnd"/>
      <w:r w:rsidRPr="009E4B6D">
        <w:t xml:space="preserve"> w </w:t>
      </w:r>
      <w:r>
        <w:t xml:space="preserve">wymiarach </w:t>
      </w:r>
      <w:r w:rsidRPr="00A8519B">
        <w:rPr>
          <w:i/>
        </w:rPr>
        <w:t>zaangażowanie</w:t>
      </w:r>
      <w:r>
        <w:t xml:space="preserve">, </w:t>
      </w:r>
      <w:r w:rsidRPr="00A8519B">
        <w:rPr>
          <w:i/>
        </w:rPr>
        <w:t>planowani</w:t>
      </w:r>
      <w:r>
        <w:rPr>
          <w:i/>
        </w:rPr>
        <w:t>e</w:t>
      </w:r>
      <w:r>
        <w:t xml:space="preserve"> i </w:t>
      </w:r>
      <w:r>
        <w:rPr>
          <w:i/>
        </w:rPr>
        <w:t>kalibracja</w:t>
      </w:r>
      <w:r>
        <w:t>.</w:t>
      </w:r>
      <w:r w:rsidRPr="00BE57A6">
        <w:t xml:space="preserve"> </w:t>
      </w:r>
      <w:r>
        <w:t xml:space="preserve">Nie wykazano związku między rozwiązaniem zadania a wskaźnikami kompetencji </w:t>
      </w:r>
      <w:proofErr w:type="spellStart"/>
      <w:r>
        <w:t>metapoznawczych</w:t>
      </w:r>
      <w:proofErr w:type="spellEnd"/>
      <w:r>
        <w:t xml:space="preserve"> </w:t>
      </w:r>
      <w:r w:rsidRPr="00A8519B">
        <w:rPr>
          <w:i/>
        </w:rPr>
        <w:t>monitorowanie</w:t>
      </w:r>
      <w:r>
        <w:t xml:space="preserve"> i </w:t>
      </w:r>
      <w:r>
        <w:rPr>
          <w:i/>
        </w:rPr>
        <w:t>ocena</w:t>
      </w:r>
      <w:r>
        <w:t xml:space="preserve">. Można przyjąć że brak związku pomiędzy monitorowaniem a rozwiązaniem jest spowodowany tym, że pytania dotyczyły bardziej skomplikowanych strategii, jakich uczniowie mogli nie opanować. Prawdopodobnie uczniowie deklarowani umiejętność monitorowania – potwierdzali pozytywnie stwierdzenia wchodzące w skład umiejętności monitorowania – jednak tak naprawdę nie potrafili z nich korzystać w praktyce. Natomiast w grupie w której aktywizowano </w:t>
      </w:r>
      <w:proofErr w:type="spellStart"/>
      <w:r>
        <w:t>metapoznawczo</w:t>
      </w:r>
      <w:proofErr w:type="spellEnd"/>
      <w:r>
        <w:t xml:space="preserve"> uczniów za pomocą ankiety nie było prawidłowych rozwiązań. Wyjaśnieniem takiego stanu mógłby być „negatywny” wpływ samego formularza na proces rozwiązywania zadań.</w:t>
      </w:r>
    </w:p>
    <w:p w:rsidR="00B3075F" w:rsidRDefault="00B3075F" w:rsidP="00B3075F">
      <w:pPr>
        <w:ind w:firstLine="708"/>
      </w:pPr>
      <w:r>
        <w:t xml:space="preserve">Podsumowując:  z pewnymi zastrzeżeniami hipoteza H1 została potwierdzona: Umiejętności </w:t>
      </w:r>
      <w:proofErr w:type="spellStart"/>
      <w:r>
        <w:t>metapoznawcze</w:t>
      </w:r>
      <w:proofErr w:type="spellEnd"/>
      <w:r>
        <w:t xml:space="preserve"> pomagają w rozwiązywaniu podanych w teście zadań otwartych z fizyki.</w:t>
      </w:r>
    </w:p>
    <w:p w:rsidR="00B3075F" w:rsidRDefault="00B3075F" w:rsidP="00B3075F">
      <w:pPr>
        <w:ind w:firstLine="708"/>
      </w:pPr>
      <w:r w:rsidRPr="00351F59">
        <w:t>Drugi problem badawczy tej pracy dotykał zagadnienia</w:t>
      </w:r>
      <w:r w:rsidRPr="00F86CE2">
        <w:rPr>
          <w:i/>
          <w:iCs/>
        </w:rPr>
        <w:t xml:space="preserve"> </w:t>
      </w:r>
      <w:r w:rsidRPr="008E5859">
        <w:rPr>
          <w:iCs/>
        </w:rPr>
        <w:t>wpływ</w:t>
      </w:r>
      <w:r>
        <w:rPr>
          <w:iCs/>
        </w:rPr>
        <w:t xml:space="preserve">u </w:t>
      </w:r>
      <w:r w:rsidRPr="008E5859">
        <w:rPr>
          <w:iCs/>
        </w:rPr>
        <w:t xml:space="preserve"> treningu </w:t>
      </w:r>
      <w:proofErr w:type="spellStart"/>
      <w:r w:rsidRPr="008E5859">
        <w:rPr>
          <w:iCs/>
        </w:rPr>
        <w:t>metapoznania</w:t>
      </w:r>
      <w:proofErr w:type="spellEnd"/>
      <w:r w:rsidRPr="008E5859">
        <w:rPr>
          <w:iCs/>
        </w:rPr>
        <w:t xml:space="preserve"> na pozi</w:t>
      </w:r>
      <w:r>
        <w:rPr>
          <w:iCs/>
        </w:rPr>
        <w:t>om wyników rozwiązywanych zadań. Z przeprowadzonych badań wynika, że</w:t>
      </w:r>
      <w:r w:rsidRPr="008E5859">
        <w:t xml:space="preserve"> </w:t>
      </w:r>
      <w:r w:rsidRPr="00F86CE2">
        <w:t>grupa eksperymentalna, która przeszła 6-miesięczn</w:t>
      </w:r>
      <w:r>
        <w:t>y</w:t>
      </w:r>
      <w:r w:rsidRPr="00F86CE2">
        <w:t xml:space="preserve"> </w:t>
      </w:r>
      <w:r>
        <w:t>trening</w:t>
      </w:r>
      <w:r w:rsidRPr="00F86CE2">
        <w:t xml:space="preserve"> lepiej poradziła sobie z rozwiązaniem zadań od grupy kontrolnej, która tylko rozwiązywała zadania.</w:t>
      </w:r>
      <w:r>
        <w:t xml:space="preserve"> Rezultat ten potwierdził wyniki wielu badań pokazujących, że umiejętności </w:t>
      </w:r>
      <w:proofErr w:type="spellStart"/>
      <w:r>
        <w:t>metapoznawcze</w:t>
      </w:r>
      <w:proofErr w:type="spellEnd"/>
      <w:r>
        <w:t xml:space="preserve"> są ważnym czynnikiem wpływającym sukces szkolny. Uczniowie, którzy mają wysokie kompetencje </w:t>
      </w:r>
      <w:proofErr w:type="spellStart"/>
      <w:r>
        <w:t>metapoznawcze</w:t>
      </w:r>
      <w:proofErr w:type="spellEnd"/>
      <w:r>
        <w:t xml:space="preserve"> maja również wysoką motywację do podjęcia wysiłku, aby sprostać trudnościom w trakcie rozwiązywania problemów i wykorzystują w tym, celu różne dostępne strategie (</w:t>
      </w:r>
      <w:proofErr w:type="spellStart"/>
      <w:r>
        <w:t>Pintrich</w:t>
      </w:r>
      <w:proofErr w:type="spellEnd"/>
      <w:r>
        <w:t xml:space="preserve">, 1999; </w:t>
      </w:r>
      <w:proofErr w:type="spellStart"/>
      <w:r>
        <w:t>Zimmerman</w:t>
      </w:r>
      <w:proofErr w:type="spellEnd"/>
      <w:r>
        <w:t xml:space="preserve">, 2000).Wyniki prezentowanego badania pokazały również, że uczniowie po treningu umiejętności </w:t>
      </w:r>
      <w:proofErr w:type="spellStart"/>
      <w:r>
        <w:t>metapoznawczych</w:t>
      </w:r>
      <w:proofErr w:type="spellEnd"/>
      <w:r>
        <w:t xml:space="preserve"> wykorzystywali różne strategie aby rozwiązać zadania otwarte z fizyki. Częściej posługiwali się rysunkiem oraz podejmowali próby rozwiązania w porównaniu z grupą uczniów uczonych metodami tradycyjnymi. To potwierdza, że kompetencje </w:t>
      </w:r>
      <w:proofErr w:type="spellStart"/>
      <w:r>
        <w:t>metapoznawcze</w:t>
      </w:r>
      <w:proofErr w:type="spellEnd"/>
      <w:r>
        <w:t xml:space="preserve"> mogą być czynnikiem różnicującym uczniów angażujących się w zadania, wpływającym na motywację sprawiając, że uczniowie są bardziej niezależni w obliczu nowej zadaniowej sytuacji i potrafią „wyłączyć” utrwalone algorytmy stosowane w zadaniach typowych.</w:t>
      </w:r>
    </w:p>
    <w:p w:rsidR="00B3075F" w:rsidRDefault="00B3075F" w:rsidP="00B3075F">
      <w:r>
        <w:t xml:space="preserve">Podjęte badania potwierdziły hipotezę H2: Uczniowie, którzy przeszli trening </w:t>
      </w:r>
      <w:proofErr w:type="spellStart"/>
      <w:r>
        <w:t>metapoznawczy</w:t>
      </w:r>
      <w:proofErr w:type="spellEnd"/>
      <w:r>
        <w:t xml:space="preserve"> skuteczniej rozwiązywali zadania otwarte z fizyki.</w:t>
      </w:r>
    </w:p>
    <w:p w:rsidR="00B3075F" w:rsidRDefault="00B3075F" w:rsidP="00B3075F">
      <w:r w:rsidRPr="00351F59">
        <w:t xml:space="preserve">Rezultaty przeprowadzonych badań nie potwierdziły hipotezy </w:t>
      </w:r>
      <w:r>
        <w:t>H</w:t>
      </w:r>
      <w:r w:rsidRPr="00351F59">
        <w:t>3, mówiącej o</w:t>
      </w:r>
      <w:r>
        <w:t> </w:t>
      </w:r>
      <w:r w:rsidRPr="00787D52">
        <w:t>zależnoś</w:t>
      </w:r>
      <w:r>
        <w:t xml:space="preserve">ci </w:t>
      </w:r>
      <w:r w:rsidRPr="00787D52">
        <w:t xml:space="preserve">między aktywizacją </w:t>
      </w:r>
      <w:proofErr w:type="spellStart"/>
      <w:r w:rsidRPr="00787D52">
        <w:t>metapoznawczą</w:t>
      </w:r>
      <w:proofErr w:type="spellEnd"/>
      <w:r w:rsidRPr="00787D52">
        <w:t xml:space="preserve"> a </w:t>
      </w:r>
      <w:r>
        <w:t xml:space="preserve">sukcesem w rozwiązywaniu zadań: Uczniowie, którzy mieli być </w:t>
      </w:r>
      <w:proofErr w:type="spellStart"/>
      <w:r>
        <w:t>metapoznawczo</w:t>
      </w:r>
      <w:proofErr w:type="spellEnd"/>
      <w:r>
        <w:t xml:space="preserve"> zaktywizowani za pomocą kwestionariusza nie rozwiązali ani jednego zadania pozytywnie co może świadczyć, że kwestionariusz stał się czynnikiem zakłócającym, dodatkowo obciążającym poznawczo uczniów i powodującym rezygnację z wysiłku rozwiązania zadania z fizyki. Być może aktywizacja </w:t>
      </w:r>
      <w:proofErr w:type="spellStart"/>
      <w:r>
        <w:t>metapoznawcza</w:t>
      </w:r>
      <w:proofErr w:type="spellEnd"/>
      <w:r>
        <w:t xml:space="preserve"> okazałaby się skuteczna w sytuacje typowej, kiedy zadania byłyby dla uczniów znane i uczeń byłby pewien swojej wiedzy. Wynik ten pokazuje również, że trudno zaktywizować </w:t>
      </w:r>
      <w:proofErr w:type="spellStart"/>
      <w:r>
        <w:t>metapoznawczo</w:t>
      </w:r>
      <w:proofErr w:type="spellEnd"/>
      <w:r>
        <w:t xml:space="preserve"> uczniów, którzy nie przeszli treningu związanego z kształceniem umiejętności „myślenia o własnym myśleniu”.</w:t>
      </w:r>
    </w:p>
    <w:p w:rsidR="00B3075F" w:rsidRDefault="00B3075F" w:rsidP="00B3075F">
      <w:r>
        <w:t xml:space="preserve">Zdolność do refleksji na temat swojej wiedzy </w:t>
      </w:r>
      <w:r>
        <w:rPr>
          <w:rStyle w:val="google-src-text"/>
        </w:rPr>
        <w:t>r</w:t>
      </w:r>
      <w:r>
        <w:t>ozwija się wraz z wiekiem (</w:t>
      </w:r>
      <w:proofErr w:type="spellStart"/>
      <w:r>
        <w:t>Flavell</w:t>
      </w:r>
      <w:proofErr w:type="spellEnd"/>
      <w:r>
        <w:t xml:space="preserve">, 1981). W rzeczywistości większość teoretyków uważa, że rozwój </w:t>
      </w:r>
      <w:proofErr w:type="spellStart"/>
      <w:r>
        <w:t>metapoznawczej</w:t>
      </w:r>
      <w:proofErr w:type="spellEnd"/>
      <w:r>
        <w:t xml:space="preserve"> wiedzy rozpoczyna się w okresie dojrzewania (</w:t>
      </w:r>
      <w:proofErr w:type="spellStart"/>
      <w:r>
        <w:t>Schraw</w:t>
      </w:r>
      <w:proofErr w:type="spellEnd"/>
      <w:r>
        <w:t xml:space="preserve"> i</w:t>
      </w:r>
      <w:r w:rsidRPr="00053836">
        <w:t xml:space="preserve"> </w:t>
      </w:r>
      <w:proofErr w:type="spellStart"/>
      <w:r w:rsidRPr="00053836">
        <w:t>Moshman</w:t>
      </w:r>
      <w:proofErr w:type="spellEnd"/>
      <w:r w:rsidRPr="00053836">
        <w:t>, 1995)</w:t>
      </w:r>
      <w:r>
        <w:t>. To badanie pokazało, że ważne jest kształcenie tej umiejętności w warunkach szkolnych przy okazji realizacji treści programowych i musi być procesem ciągłym a nie jednostkowym.</w:t>
      </w:r>
    </w:p>
    <w:p w:rsidR="00B3075F" w:rsidRPr="00716D4B" w:rsidRDefault="00B3075F" w:rsidP="00B3075F">
      <w:r w:rsidRPr="00716D4B">
        <w:t xml:space="preserve">Umiejętności </w:t>
      </w:r>
      <w:proofErr w:type="spellStart"/>
      <w:r w:rsidRPr="00716D4B">
        <w:t>metapoznawcze</w:t>
      </w:r>
      <w:proofErr w:type="spellEnd"/>
      <w:r w:rsidRPr="00716D4B">
        <w:t xml:space="preserve"> wiążą się z poczuciem własnej skuteczności. Poczucie własnej skuteczności ma wpływ na wybór działania, wytrwałość i ostatecznie na stopień powodzenia w dojściu do celu. </w:t>
      </w:r>
      <w:r w:rsidRPr="00716D4B">
        <w:rPr>
          <w:rFonts w:hint="eastAsia"/>
        </w:rPr>
        <w:t>Niewłaściwe</w:t>
      </w:r>
      <w:r w:rsidRPr="00716D4B">
        <w:t xml:space="preserve"> oszacowanie własnej skuteczności może być spowodowane niewłaściwa analizą danego zadania lub wynikające z braku znajomości samego</w:t>
      </w:r>
      <w:r>
        <w:t xml:space="preserve"> siebie (Bandura i </w:t>
      </w:r>
      <w:proofErr w:type="spellStart"/>
      <w:r>
        <w:t>Schunk</w:t>
      </w:r>
      <w:proofErr w:type="spellEnd"/>
      <w:r>
        <w:t>, 1981)</w:t>
      </w:r>
      <w:r w:rsidRPr="00716D4B">
        <w:t xml:space="preserve">. Badanie to pokazało, że uczniowie, którzy przeszli trening </w:t>
      </w:r>
      <w:proofErr w:type="spellStart"/>
      <w:r w:rsidRPr="00716D4B">
        <w:t>metapoznawczy</w:t>
      </w:r>
      <w:proofErr w:type="spellEnd"/>
      <w:r w:rsidRPr="00716D4B">
        <w:t xml:space="preserve"> lepiej przewidywali swoje możliwości rozwiązania zadania, może się to wiązać z wykształceniem umiejętności autorefleksji oraz większej kontroli własnych procesów poznawczych. Uczniowie w grupie aktywizowanej </w:t>
      </w:r>
      <w:proofErr w:type="spellStart"/>
      <w:r w:rsidRPr="00716D4B">
        <w:t>metapoznawczo</w:t>
      </w:r>
      <w:proofErr w:type="spellEnd"/>
      <w:r w:rsidRPr="00716D4B">
        <w:t xml:space="preserve"> za pomocą ankiety b</w:t>
      </w:r>
      <w:r>
        <w:t>łę</w:t>
      </w:r>
      <w:r w:rsidRPr="00716D4B">
        <w:t>dnie oszacowywali swoje kompetencje najczęściej je przeszacowywali. Wyniki badań wskazują, że uczniowie wydają się być zbyt pewny siebie, kiedy rozwiązują nowe i</w:t>
      </w:r>
      <w:r>
        <w:t> </w:t>
      </w:r>
      <w:r w:rsidRPr="00716D4B">
        <w:t>trudne zadania (</w:t>
      </w:r>
      <w:proofErr w:type="spellStart"/>
      <w:r w:rsidRPr="00716D4B">
        <w:t>Bjorkman</w:t>
      </w:r>
      <w:proofErr w:type="spellEnd"/>
      <w:r w:rsidRPr="00716D4B">
        <w:t xml:space="preserve">, 1992). Najczęściej deklarują, że potrafią rozwiązać postawiony problem (nawet gdy później okazuje się, że nie udało im się tego zrobić) wykazując niską zgodność kalibracji. Według Bandury (1986), zbytnia pewność siebie jest normalną odpowiedzią na trudną sytuację. Biorąc pod uwagę bilans korzyści-straty, postawa ta jest uzasadniona, ponieważ motywuje do podjęcia ryzyka rozwiązania ambitnego zadania. Inaczej jest w przypadku łatwych zadań. Uczniowie wykazując niskie poczucie własnych kompetencji częściej deklarując porażkę. </w:t>
      </w:r>
      <w:proofErr w:type="spellStart"/>
      <w:r w:rsidRPr="00716D4B">
        <w:t>Ferrell</w:t>
      </w:r>
      <w:proofErr w:type="spellEnd"/>
      <w:r w:rsidRPr="00716D4B">
        <w:t xml:space="preserve"> </w:t>
      </w:r>
      <w:r>
        <w:t>(</w:t>
      </w:r>
      <w:r w:rsidRPr="00716D4B">
        <w:t>1995</w:t>
      </w:r>
      <w:r>
        <w:t xml:space="preserve">) i </w:t>
      </w:r>
      <w:r w:rsidRPr="00716D4B">
        <w:t xml:space="preserve">Hacker </w:t>
      </w:r>
      <w:r>
        <w:t>(</w:t>
      </w:r>
      <w:r w:rsidRPr="00716D4B">
        <w:t>2000</w:t>
      </w:r>
      <w:r>
        <w:t>)</w:t>
      </w:r>
      <w:r w:rsidRPr="00716D4B">
        <w:t xml:space="preserve"> tłumaczą to tym, że uczniowie obawiają się skutków społecznych, kiedy nie uda się</w:t>
      </w:r>
      <w:r>
        <w:t xml:space="preserve"> </w:t>
      </w:r>
      <w:r w:rsidRPr="00716D4B">
        <w:t>rozwiązać łatwego zadania i</w:t>
      </w:r>
      <w:r>
        <w:t> </w:t>
      </w:r>
      <w:r w:rsidRPr="00716D4B">
        <w:t>w ochronie</w:t>
      </w:r>
      <w:r>
        <w:t xml:space="preserve"> </w:t>
      </w:r>
      <w:r w:rsidRPr="00716D4B">
        <w:t xml:space="preserve">własnego wizerunku są ostrożni w deklarowaniu własnych kompetencji. Można się spodziewać innego zachowania i oceny własnych umiejętności przez uczniów, którzy rozwiązują zadania trudne. Takie wyjaśnienie może tłumaczyć dlaczego uczniowie w grupie aktywizowanej </w:t>
      </w:r>
      <w:proofErr w:type="spellStart"/>
      <w:r w:rsidRPr="00716D4B">
        <w:t>metapoznawczo</w:t>
      </w:r>
      <w:proofErr w:type="spellEnd"/>
      <w:r w:rsidRPr="00716D4B">
        <w:t xml:space="preserve"> częściej b</w:t>
      </w:r>
      <w:r>
        <w:t>łę</w:t>
      </w:r>
      <w:r w:rsidRPr="00716D4B">
        <w:t>dnie deklarowali, że potrafią rozwiązać zadanie a</w:t>
      </w:r>
      <w:r>
        <w:t> </w:t>
      </w:r>
      <w:r w:rsidRPr="00716D4B">
        <w:t>w rezultacie często nawet nie podejmowali próby jego rozwiązania.</w:t>
      </w:r>
    </w:p>
    <w:p w:rsidR="00B3075F" w:rsidRDefault="00B3075F" w:rsidP="00B3075F">
      <w:r w:rsidRPr="00716D4B">
        <w:t>Często przeszacowanie możliwości prowadzi do porzucenia próby rozwiązania i</w:t>
      </w:r>
      <w:r>
        <w:t> </w:t>
      </w:r>
      <w:r w:rsidRPr="00716D4B">
        <w:t>znalezienia racjonalnego wytłumaczenia dlaczego nie podjęto się ryzyka w próbach rozwiązania. W przypadku niniejszego badania uczniowie z grupy eksperymentalnej „z</w:t>
      </w:r>
      <w:r>
        <w:t> </w:t>
      </w:r>
      <w:r w:rsidRPr="00716D4B">
        <w:t>aktywizacją” mogli z łatwością wytłumaczyć brak zaangażowania w rozwiązanie zadania otwartego z fizyki obecnością czynnika zewnętrznego jakim był dodatkowy kwestionariusz. Innym wytłumaczeniem dlaczego grupa eksperymentalna „z aktywizacją” gorzej wypadła w</w:t>
      </w:r>
      <w:r>
        <w:t> </w:t>
      </w:r>
      <w:r w:rsidRPr="00716D4B">
        <w:t>ostatecznym wyniku rozwiązywania zadań w porównaniu z grupą kontrolną, jest to, że</w:t>
      </w:r>
      <w:r>
        <w:t> </w:t>
      </w:r>
      <w:r w:rsidRPr="00716D4B">
        <w:t xml:space="preserve">stosowanie strategii poznawczych zależy od samoświadomości i samowiedzy. Sztuczne wzbudzenie refleksji przez wypełnienie kwestionariusza bez wcześniejszego treningu w tym zakresie mogło spowodować, że uczniowie błędnie zrozumieli postawione przed nimi zadanie skupiając się na pytaniach ankietowych nie łącząc ich z zadaniem problemowym. </w:t>
      </w:r>
    </w:p>
    <w:p w:rsidR="00B3075F" w:rsidRDefault="00B3075F" w:rsidP="00B3075F">
      <w:r>
        <w:t xml:space="preserve">Niezależnie od całości osiągniętych wyników jeden z nich wydaje się naprawdę wartościowy. Chodzi o związek pomiędzy rozwiązaniem zadania a przejściem przez trening </w:t>
      </w:r>
      <w:proofErr w:type="spellStart"/>
      <w:r>
        <w:t>metapoznawczy</w:t>
      </w:r>
      <w:proofErr w:type="spellEnd"/>
      <w:r>
        <w:t>.</w:t>
      </w:r>
    </w:p>
    <w:p w:rsidR="00B3075F" w:rsidRDefault="00B3075F" w:rsidP="00B3075F">
      <w:pPr>
        <w:pStyle w:val="Heading2"/>
      </w:pPr>
      <w:bookmarkStart w:id="25" w:name="_Toc302846908"/>
      <w:r>
        <w:t>4.1</w:t>
      </w:r>
      <w:r>
        <w:tab/>
        <w:t>Znaczenie aplikacyjne wyników badań</w:t>
      </w:r>
      <w:bookmarkEnd w:id="25"/>
    </w:p>
    <w:p w:rsidR="00B3075F" w:rsidRPr="00A84C58" w:rsidRDefault="00B3075F" w:rsidP="00B3075F">
      <w:r>
        <w:t xml:space="preserve">W codziennej praktyce szkolnej techniki związane z </w:t>
      </w:r>
      <w:proofErr w:type="spellStart"/>
      <w:r>
        <w:t>metapoznaniem</w:t>
      </w:r>
      <w:proofErr w:type="spellEnd"/>
      <w:r>
        <w:t xml:space="preserve"> nie są zwykle stosowane. Niniejsza praca wskazuje jednak na to, że włączenie ich do warsztatu nauczyciela jest jak najbardziej zasadne. Opisywane powyżej badanie dotyczy co prawda nauk ścisłych (fizyka) ale wydaje się, że w/w strategie mogą być z powodzeniem stosowane na innych przedmiotach szkolnych.</w:t>
      </w:r>
    </w:p>
    <w:p w:rsidR="00B3075F" w:rsidRPr="00F86CE2" w:rsidRDefault="00B3075F" w:rsidP="00B3075F">
      <w:r w:rsidRPr="00F86CE2">
        <w:t xml:space="preserve">Uczenie się jest w psychologii poznawczej traktowane jako aktywny proces ukierunkowany na cel. Aktywny proces to taki w którym uczeń podejmuje decyzje w jaki sposób będzie opracowywał informacje i przyswajał je dla siebie w zrozumiałej formie. </w:t>
      </w:r>
      <w:r w:rsidRPr="0034783A">
        <w:t>Proces ukierunkowany na cel jest wtedy</w:t>
      </w:r>
      <w:r w:rsidRPr="00F86CE2">
        <w:t xml:space="preserve"> gdy uczeń jest </w:t>
      </w:r>
      <w:r>
        <w:t>świadomy celu do którego dąży i </w:t>
      </w:r>
      <w:r w:rsidRPr="00F86CE2">
        <w:t>prze</w:t>
      </w:r>
      <w:r>
        <w:t xml:space="preserve">widuje rezultaty swoich działań </w:t>
      </w:r>
      <w:r w:rsidRPr="00F86CE2">
        <w:t>(</w:t>
      </w:r>
      <w:proofErr w:type="spellStart"/>
      <w:r w:rsidRPr="00F86CE2">
        <w:t>Mietzel</w:t>
      </w:r>
      <w:proofErr w:type="spellEnd"/>
      <w:r>
        <w:t>,</w:t>
      </w:r>
      <w:r w:rsidRPr="00F86CE2">
        <w:t xml:space="preserve"> 2002). Zgodnie z założeniami psychologii poznawczej, że nauka to nie tylko prosta reakcja na bodziec, której towarzyszą wzmocnienia, ale akt poznania i myślenie o sytuacji w której zachodzi, dominującą ak</w:t>
      </w:r>
      <w:r>
        <w:t xml:space="preserve">tywność przypisuje się uczniowi </w:t>
      </w:r>
      <w:r w:rsidRPr="00F86CE2">
        <w:t>(</w:t>
      </w:r>
      <w:proofErr w:type="spellStart"/>
      <w:r w:rsidRPr="00F86CE2">
        <w:t>Dembo</w:t>
      </w:r>
      <w:proofErr w:type="spellEnd"/>
      <w:r>
        <w:t>,</w:t>
      </w:r>
      <w:r w:rsidRPr="00F86CE2">
        <w:t xml:space="preserve"> 1997). Rolą nauczyciela jest pomoc w dobraniu odpowiednich strategii uczenia się i monitorowaniu ich rozumienia. Aby jednak uczniowie mogli stosować adekwatne strategie uczenia się potrzebna jest wiedza i umiejętności </w:t>
      </w:r>
      <w:proofErr w:type="spellStart"/>
      <w:r w:rsidRPr="00F86CE2">
        <w:t>metapoznawcze</w:t>
      </w:r>
      <w:proofErr w:type="spellEnd"/>
      <w:r w:rsidRPr="00F86CE2">
        <w:t>, które nie tylko ułatwiają naukę ale znacznie wpływają na motywację .Ma to związek z poczuciem własnej skuteczności. Uczeń wie, że sukces zależy od wkładanego wysiłku a nie od czynników zewnętrznych. Działa tu sprzężenie zwrotne: osiągnięte rezultaty uświadamiają uczniom, że poprawiają się ich kompetencje i że ma to związek z włożoną przez nich pracą. Mówi się, że uczniowie rozwijają wewnętrzne umiejscowienie kontroli nad swoim sukcesem/porażką. (</w:t>
      </w:r>
      <w:proofErr w:type="spellStart"/>
      <w:r w:rsidRPr="00F86CE2">
        <w:t>Dembo</w:t>
      </w:r>
      <w:proofErr w:type="spellEnd"/>
      <w:r>
        <w:t>,</w:t>
      </w:r>
      <w:r w:rsidRPr="00F86CE2">
        <w:t xml:space="preserve"> 1997)</w:t>
      </w:r>
      <w:r>
        <w:t>.</w:t>
      </w:r>
    </w:p>
    <w:p w:rsidR="00B3075F" w:rsidRPr="00F86CE2" w:rsidRDefault="00B3075F" w:rsidP="00B3075F">
      <w:r w:rsidRPr="00F86CE2">
        <w:t xml:space="preserve">Zwykle, kiedy uczniowie osiągają dobre wyniki, przypisują to sobie. Gdy jednak przeżywają porażkę, mogą w </w:t>
      </w:r>
      <w:r w:rsidRPr="0034783A">
        <w:t>ochronie</w:t>
      </w:r>
      <w:r w:rsidRPr="00F86CE2">
        <w:t xml:space="preserve"> racjonalizacji siebie zdystansować się od poczucia osobistej odpowiedzialności przez obwinianie czynników zewnętrznych, takich jak: zbyt trudne zadanie, złośliwość nauczyciela („uwziął się na mnie”) lub po prostu pech. Uczniowie „zrzucając winę” na przyczyny zewnętrzne, nie uczą się, bojkotują każde próby wysiłku i</w:t>
      </w:r>
      <w:r>
        <w:t> </w:t>
      </w:r>
      <w:r w:rsidRPr="00F86CE2">
        <w:t>w</w:t>
      </w:r>
      <w:r>
        <w:t> </w:t>
      </w:r>
      <w:r w:rsidRPr="00F86CE2">
        <w:t>ten sposób chronią się przed negatywną oceną.</w:t>
      </w:r>
      <w:r>
        <w:t xml:space="preserve"> </w:t>
      </w:r>
      <w:r w:rsidRPr="00F86CE2">
        <w:t>(Bandura</w:t>
      </w:r>
      <w:r>
        <w:t>,</w:t>
      </w:r>
      <w:r w:rsidRPr="00F86CE2">
        <w:t xml:space="preserve"> 1995)</w:t>
      </w:r>
    </w:p>
    <w:p w:rsidR="00B3075F" w:rsidRPr="00F86CE2" w:rsidRDefault="00B3075F" w:rsidP="00B3075F">
      <w:r w:rsidRPr="00F86CE2">
        <w:t>Ale nawet skierowanie przyczyn na czynniki wewnętrzne, nie musi przynieść pozytywnego rezultatu, bo zamiast postawy „za mało pracowałem” może pojawić się wytłumaczenie „jestem za mało zdolny”. Przypisując sobie brak zdolności uczniowie zmniejszają pewność siebie, nie podejmują wysiłku intelektualnego, mają negatywny emocjonalny stosunek do określonego zadania. Wyjaśnia to, dlaczego nie chcą pomocy ani żadnego wsparcia ze strony nauczycieli, uważają, że nie warto się wysilać. (Bandura</w:t>
      </w:r>
      <w:r>
        <w:t>,</w:t>
      </w:r>
      <w:r w:rsidRPr="00F86CE2">
        <w:t xml:space="preserve"> 1986)</w:t>
      </w:r>
    </w:p>
    <w:p w:rsidR="00B3075F" w:rsidRPr="00F86CE2" w:rsidRDefault="00B3075F" w:rsidP="00B3075F">
      <w:r w:rsidRPr="00F86CE2">
        <w:t>Bandura uważa , ze uczniowie, którzy nie</w:t>
      </w:r>
      <w:r>
        <w:t xml:space="preserve"> </w:t>
      </w:r>
      <w:r w:rsidRPr="00F86CE2">
        <w:t>potrafią ocenić swoich możli</w:t>
      </w:r>
      <w:r>
        <w:t xml:space="preserve">wości, albo ją najczęściej </w:t>
      </w:r>
      <w:proofErr w:type="spellStart"/>
      <w:r>
        <w:t>niedoszacowują</w:t>
      </w:r>
      <w:proofErr w:type="spellEnd"/>
      <w:r>
        <w:t xml:space="preserve"> lub przeszacowują </w:t>
      </w:r>
      <w:r w:rsidRPr="00F86CE2">
        <w:t>co powoduje rezygnację z trudniejszych wyzwań i przerzucenie odpowiedzialno</w:t>
      </w:r>
      <w:r>
        <w:t>ści na czynniki wewnętrzne:</w:t>
      </w:r>
      <w:r w:rsidRPr="00F86CE2">
        <w:t xml:space="preserve"> „jestem za głupi”, „szkoda się wysilać i tak mi si</w:t>
      </w:r>
      <w:r>
        <w:t>ę nie uda”,</w:t>
      </w:r>
      <w:r w:rsidRPr="00F86CE2">
        <w:t xml:space="preserve"> „nauczycielka się uwzięła”, „kolega mi przeszkadzał”, „było za głośno”</w:t>
      </w:r>
      <w:r>
        <w:t xml:space="preserve"> </w:t>
      </w:r>
      <w:r w:rsidRPr="00F86CE2">
        <w:t>(Bandura</w:t>
      </w:r>
      <w:r>
        <w:t>,</w:t>
      </w:r>
      <w:r w:rsidRPr="00F86CE2">
        <w:t xml:space="preserve"> 1977)</w:t>
      </w:r>
      <w:r>
        <w:t>.</w:t>
      </w:r>
    </w:p>
    <w:p w:rsidR="00B3075F" w:rsidRPr="00F86CE2" w:rsidRDefault="00B3075F" w:rsidP="00B3075F">
      <w:r w:rsidRPr="00F86CE2">
        <w:t>Uczniowie, którzy osiągają słabe wyniki w nauce często nie są świadomi swoich procesów myślowych i nie potrafią monitorować swo</w:t>
      </w:r>
      <w:r>
        <w:t>jej nauki, nie wiedzą „jak” i „</w:t>
      </w:r>
      <w:r w:rsidRPr="00F86CE2">
        <w:t>co robić” kiedy zaczynają</w:t>
      </w:r>
      <w:r>
        <w:t xml:space="preserve"> rozwiązywać zadania problemowe</w:t>
      </w:r>
      <w:r w:rsidRPr="00F86CE2">
        <w:t xml:space="preserve"> (Bandura</w:t>
      </w:r>
      <w:r>
        <w:t>,</w:t>
      </w:r>
      <w:r w:rsidRPr="00F86CE2">
        <w:t xml:space="preserve"> 1997)</w:t>
      </w:r>
      <w:r>
        <w:t>.</w:t>
      </w:r>
    </w:p>
    <w:p w:rsidR="00B3075F" w:rsidRPr="008E51AA" w:rsidRDefault="00B3075F" w:rsidP="00B3075F">
      <w:r>
        <w:t xml:space="preserve">Badanie przedstawione w niniejszej pracy </w:t>
      </w:r>
      <w:r w:rsidRPr="00F86CE2">
        <w:t>pokazuj</w:t>
      </w:r>
      <w:r>
        <w:t>e</w:t>
      </w:r>
      <w:r w:rsidRPr="00F86CE2">
        <w:t xml:space="preserve">, że można zmienić środowisko szkolne </w:t>
      </w:r>
      <w:r>
        <w:t>na</w:t>
      </w:r>
      <w:r w:rsidRPr="00F86CE2">
        <w:t xml:space="preserve"> takie, które wdraża </w:t>
      </w:r>
      <w:proofErr w:type="spellStart"/>
      <w:r w:rsidRPr="00F86CE2">
        <w:t>metapoznawcze</w:t>
      </w:r>
      <w:proofErr w:type="spellEnd"/>
      <w:r w:rsidRPr="00F86CE2">
        <w:t xml:space="preserve"> techniki w treści edukacyjne</w:t>
      </w:r>
      <w:r>
        <w:t>,</w:t>
      </w:r>
      <w:r w:rsidRPr="00F86CE2">
        <w:t xml:space="preserve"> co przyczynia się do poprawy efektywności nauczania. </w:t>
      </w:r>
      <w:r>
        <w:t>Również inne badania</w:t>
      </w:r>
      <w:r w:rsidRPr="00F86CE2">
        <w:t xml:space="preserve"> prowadzone w kierunku skuteczności strategii </w:t>
      </w:r>
      <w:proofErr w:type="spellStart"/>
      <w:r w:rsidRPr="00F86CE2">
        <w:t>metapoznawczych</w:t>
      </w:r>
      <w:proofErr w:type="spellEnd"/>
      <w:r w:rsidRPr="00F86CE2">
        <w:t xml:space="preserve"> wykazało związek między </w:t>
      </w:r>
      <w:proofErr w:type="spellStart"/>
      <w:r w:rsidRPr="00F86CE2">
        <w:t>metapoznawczymi</w:t>
      </w:r>
      <w:proofErr w:type="spellEnd"/>
      <w:r w:rsidRPr="00F86CE2">
        <w:t xml:space="preserve"> strategiami i wynikami w nauce. Ryan (1984) </w:t>
      </w:r>
      <w:r>
        <w:t xml:space="preserve">wykazał, że </w:t>
      </w:r>
      <w:r w:rsidRPr="00F86CE2">
        <w:t>uczniowie , którzy monitorowali rozwiązywane przez siebie zadanie osiągali lepsze wyniki niż osoby, które standardowo podeszli do zadania</w:t>
      </w:r>
      <w:r>
        <w:t>.</w:t>
      </w:r>
      <w:r w:rsidRPr="00F86CE2">
        <w:t xml:space="preserve"> </w:t>
      </w:r>
      <w:proofErr w:type="spellStart"/>
      <w:r w:rsidRPr="00F86CE2">
        <w:t>Slife</w:t>
      </w:r>
      <w:proofErr w:type="spellEnd"/>
      <w:r w:rsidRPr="00F86CE2">
        <w:t xml:space="preserve"> </w:t>
      </w:r>
      <w:r>
        <w:t>i współpracownicy</w:t>
      </w:r>
      <w:r w:rsidRPr="00F86CE2">
        <w:t xml:space="preserve"> (1985) przeanalizowali</w:t>
      </w:r>
      <w:r>
        <w:t xml:space="preserve"> </w:t>
      </w:r>
      <w:r w:rsidRPr="00F86CE2">
        <w:t xml:space="preserve">wyniki uczniów w powiązaniu z ich </w:t>
      </w:r>
      <w:proofErr w:type="spellStart"/>
      <w:r w:rsidRPr="00F86CE2">
        <w:t>metapoznawczymi</w:t>
      </w:r>
      <w:proofErr w:type="spellEnd"/>
      <w:r w:rsidRPr="00F86CE2">
        <w:t xml:space="preserve"> zdolnościami. Okazało się, że uczniowie którzy częściej stosowali </w:t>
      </w:r>
      <w:proofErr w:type="spellStart"/>
      <w:r w:rsidRPr="00F86CE2">
        <w:t>metapoznawcze</w:t>
      </w:r>
      <w:proofErr w:type="spellEnd"/>
      <w:r w:rsidRPr="00F86CE2">
        <w:t xml:space="preserve"> strategie osiągali lepsze wyniki. Swanson (1990) zbadał czy umiejętności </w:t>
      </w:r>
      <w:proofErr w:type="spellStart"/>
      <w:r w:rsidRPr="00F86CE2">
        <w:t>metapoznawcze</w:t>
      </w:r>
      <w:proofErr w:type="spellEnd"/>
      <w:r w:rsidRPr="00F86CE2">
        <w:t xml:space="preserve"> mogą rekompensować niskie ogólne zdolności w nauce. Wyniki wykazały, że niezależnie od tego czy uczeń jest zdolny czy nie poziom umiejętności </w:t>
      </w:r>
      <w:proofErr w:type="spellStart"/>
      <w:r w:rsidRPr="00F86CE2">
        <w:t>metapoznawczych</w:t>
      </w:r>
      <w:proofErr w:type="spellEnd"/>
      <w:r w:rsidRPr="00F86CE2">
        <w:t xml:space="preserve"> wpływał na osiągane wyniki. Inne badanie pokazało,</w:t>
      </w:r>
      <w:r w:rsidRPr="00F86CE2">
        <w:rPr>
          <w:b/>
        </w:rPr>
        <w:t xml:space="preserve"> </w:t>
      </w:r>
      <w:r w:rsidRPr="00F86CE2">
        <w:t>że</w:t>
      </w:r>
      <w:r w:rsidRPr="00F86CE2">
        <w:rPr>
          <w:b/>
        </w:rPr>
        <w:t xml:space="preserve"> </w:t>
      </w:r>
      <w:proofErr w:type="spellStart"/>
      <w:r w:rsidRPr="00F86CE2">
        <w:t>Metapoznanie</w:t>
      </w:r>
      <w:proofErr w:type="spellEnd"/>
      <w:r>
        <w:t xml:space="preserve"> </w:t>
      </w:r>
      <w:r w:rsidRPr="00F86CE2">
        <w:t>jest ważne w nauce i</w:t>
      </w:r>
      <w:r>
        <w:t> </w:t>
      </w:r>
      <w:r w:rsidRPr="00F86CE2">
        <w:t>jest silnym predykatorem sukcesu szkolnego (</w:t>
      </w:r>
      <w:proofErr w:type="spellStart"/>
      <w:r w:rsidRPr="00F86CE2">
        <w:t>Dunning</w:t>
      </w:r>
      <w:proofErr w:type="spellEnd"/>
      <w:r w:rsidRPr="00F86CE2">
        <w:t xml:space="preserve">, Johnson, </w:t>
      </w:r>
      <w:proofErr w:type="spellStart"/>
      <w:r w:rsidRPr="00F86CE2">
        <w:t>Ehrlinger</w:t>
      </w:r>
      <w:proofErr w:type="spellEnd"/>
      <w:r w:rsidRPr="00F86CE2">
        <w:t xml:space="preserve"> </w:t>
      </w:r>
      <w:r>
        <w:t>i </w:t>
      </w:r>
      <w:r w:rsidRPr="00F86CE2">
        <w:t xml:space="preserve">Kruger, 2003; Kruger </w:t>
      </w:r>
      <w:r>
        <w:t>i</w:t>
      </w:r>
      <w:r w:rsidRPr="00F86CE2">
        <w:t xml:space="preserve"> </w:t>
      </w:r>
      <w:proofErr w:type="spellStart"/>
      <w:r w:rsidRPr="00F86CE2">
        <w:t>Dunning</w:t>
      </w:r>
      <w:proofErr w:type="spellEnd"/>
      <w:r w:rsidRPr="00F86CE2">
        <w:t>, 1999).</w:t>
      </w:r>
      <w:bookmarkEnd w:id="19"/>
      <w:r w:rsidRPr="00F86CE2">
        <w:t xml:space="preserve"> </w:t>
      </w:r>
    </w:p>
    <w:p w:rsidR="00B3075F" w:rsidRPr="00B94C15" w:rsidRDefault="00B3075F" w:rsidP="00B3075F">
      <w:pPr>
        <w:pStyle w:val="Heading1"/>
      </w:pPr>
      <w:r>
        <w:br w:type="page"/>
      </w:r>
      <w:bookmarkStart w:id="26" w:name="_Toc302846910"/>
      <w:r w:rsidRPr="00B94C15">
        <w:t xml:space="preserve"> </w:t>
      </w:r>
    </w:p>
    <w:p w:rsidR="00B3075F" w:rsidRPr="00B94C15" w:rsidRDefault="00B3075F" w:rsidP="00B3075F">
      <w:pPr>
        <w:pStyle w:val="Heading1"/>
      </w:pPr>
      <w:r w:rsidRPr="00B94C15">
        <w:t>Literatura</w:t>
      </w:r>
      <w:bookmarkEnd w:id="26"/>
      <w:r w:rsidRPr="00B94C15">
        <w:t xml:space="preserve"> </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Allwood</w:t>
      </w:r>
      <w:proofErr w:type="spellEnd"/>
      <w:r w:rsidRPr="00676849">
        <w:rPr>
          <w:rFonts w:eastAsia="Times New Roman"/>
          <w:kern w:val="0"/>
          <w:lang w:val="en-US" w:eastAsia="pl-PL"/>
        </w:rPr>
        <w:t xml:space="preserve">, C. M., </w:t>
      </w:r>
      <w:proofErr w:type="spellStart"/>
      <w:r w:rsidRPr="00676849">
        <w:rPr>
          <w:rFonts w:eastAsia="Times New Roman"/>
          <w:kern w:val="0"/>
          <w:lang w:val="en-US" w:eastAsia="pl-PL"/>
        </w:rPr>
        <w:t>Granhag</w:t>
      </w:r>
      <w:proofErr w:type="spellEnd"/>
      <w:r w:rsidRPr="00676849">
        <w:rPr>
          <w:rFonts w:eastAsia="Times New Roman"/>
          <w:kern w:val="0"/>
          <w:lang w:val="en-US" w:eastAsia="pl-PL"/>
        </w:rPr>
        <w:t xml:space="preserve">, P. A. (1999). </w:t>
      </w:r>
      <w:proofErr w:type="gramStart"/>
      <w:r w:rsidRPr="00676849">
        <w:rPr>
          <w:rFonts w:eastAsia="Times New Roman"/>
          <w:i/>
          <w:kern w:val="0"/>
          <w:lang w:val="en-US" w:eastAsia="pl-PL"/>
        </w:rPr>
        <w:t>Feelings of confidence and the realism of confidence judgments in everyday life</w:t>
      </w:r>
      <w:r w:rsidRPr="00676849">
        <w:rPr>
          <w:rFonts w:eastAsia="Times New Roman"/>
          <w:kern w:val="0"/>
          <w:lang w:val="en-US" w:eastAsia="pl-PL"/>
        </w:rPr>
        <w:t>.</w:t>
      </w:r>
      <w:proofErr w:type="gramEnd"/>
      <w:r w:rsidRPr="00676849">
        <w:rPr>
          <w:rFonts w:eastAsia="Times New Roman"/>
          <w:kern w:val="0"/>
          <w:lang w:val="en-US" w:eastAsia="pl-PL"/>
        </w:rPr>
        <w:t xml:space="preserve"> W: P. </w:t>
      </w:r>
      <w:proofErr w:type="spellStart"/>
      <w:r w:rsidRPr="00676849">
        <w:rPr>
          <w:rFonts w:eastAsia="Times New Roman"/>
          <w:kern w:val="0"/>
          <w:lang w:val="en-US" w:eastAsia="pl-PL"/>
        </w:rPr>
        <w:t>Juslin</w:t>
      </w:r>
      <w:proofErr w:type="spellEnd"/>
      <w:r w:rsidRPr="00676849">
        <w:rPr>
          <w:rFonts w:eastAsia="Times New Roman"/>
          <w:kern w:val="0"/>
          <w:lang w:val="en-US" w:eastAsia="pl-PL"/>
        </w:rPr>
        <w:t xml:space="preserve"> </w:t>
      </w:r>
      <w:proofErr w:type="spellStart"/>
      <w:r w:rsidRPr="00676849">
        <w:rPr>
          <w:rFonts w:eastAsia="Times New Roman"/>
          <w:kern w:val="0"/>
          <w:lang w:val="en-US" w:eastAsia="pl-PL"/>
        </w:rPr>
        <w:t>i</w:t>
      </w:r>
      <w:proofErr w:type="spellEnd"/>
      <w:r w:rsidRPr="00676849">
        <w:rPr>
          <w:rFonts w:eastAsia="Times New Roman"/>
          <w:kern w:val="0"/>
          <w:lang w:val="en-US" w:eastAsia="pl-PL"/>
        </w:rPr>
        <w:t xml:space="preserve"> H. Montgomery (red.), </w:t>
      </w:r>
      <w:r w:rsidRPr="00676849">
        <w:rPr>
          <w:rFonts w:eastAsia="Times New Roman"/>
          <w:i/>
          <w:kern w:val="0"/>
          <w:lang w:val="en-US" w:eastAsia="pl-PL"/>
        </w:rPr>
        <w:t xml:space="preserve">Judgment and </w:t>
      </w:r>
      <w:proofErr w:type="gramStart"/>
      <w:r w:rsidRPr="00676849">
        <w:rPr>
          <w:rFonts w:eastAsia="Times New Roman"/>
          <w:i/>
          <w:kern w:val="0"/>
          <w:lang w:val="en-US" w:eastAsia="pl-PL"/>
        </w:rPr>
        <w:t>decision making</w:t>
      </w:r>
      <w:proofErr w:type="gramEnd"/>
      <w:r w:rsidRPr="00676849">
        <w:rPr>
          <w:rFonts w:eastAsia="Times New Roman"/>
          <w:i/>
          <w:kern w:val="0"/>
          <w:lang w:val="en-US" w:eastAsia="pl-PL"/>
        </w:rPr>
        <w:t>: Neo-</w:t>
      </w:r>
      <w:proofErr w:type="spellStart"/>
      <w:r w:rsidRPr="00676849">
        <w:rPr>
          <w:rFonts w:eastAsia="Times New Roman"/>
          <w:i/>
          <w:kern w:val="0"/>
          <w:lang w:val="en-US" w:eastAsia="pl-PL"/>
        </w:rPr>
        <w:t>Brunswikian</w:t>
      </w:r>
      <w:proofErr w:type="spellEnd"/>
      <w:r w:rsidRPr="00676849">
        <w:rPr>
          <w:rFonts w:eastAsia="Times New Roman"/>
          <w:i/>
          <w:kern w:val="0"/>
          <w:lang w:val="en-US" w:eastAsia="pl-PL"/>
        </w:rPr>
        <w:t xml:space="preserve"> and process-tracing approaches.</w:t>
      </w:r>
      <w:r w:rsidRPr="00676849">
        <w:rPr>
          <w:rFonts w:eastAsia="Times New Roman"/>
          <w:kern w:val="0"/>
          <w:lang w:val="en-US" w:eastAsia="pl-PL"/>
        </w:rPr>
        <w:t xml:space="preserve"> (</w:t>
      </w:r>
      <w:proofErr w:type="gramStart"/>
      <w:r w:rsidRPr="00676849">
        <w:rPr>
          <w:rFonts w:eastAsia="Times New Roman"/>
          <w:kern w:val="0"/>
          <w:lang w:val="en-US" w:eastAsia="pl-PL"/>
        </w:rPr>
        <w:t>str</w:t>
      </w:r>
      <w:proofErr w:type="gramEnd"/>
      <w:r w:rsidRPr="00676849">
        <w:rPr>
          <w:rFonts w:eastAsia="Times New Roman"/>
          <w:kern w:val="0"/>
          <w:lang w:val="en-US" w:eastAsia="pl-PL"/>
        </w:rPr>
        <w:t>. 123-146) Mahwah, NJ: Lawrence Erlbaum Associates Inc.</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Anderson, O. R., Demetrius, O. J. (1993). </w:t>
      </w:r>
      <w:r w:rsidRPr="00676849">
        <w:rPr>
          <w:rFonts w:eastAsia="Times New Roman"/>
          <w:i/>
          <w:kern w:val="0"/>
          <w:lang w:val="en-US" w:eastAsia="pl-PL"/>
        </w:rPr>
        <w:t>A flow map method of representing cognitive structure based on respondents’ narrative using science content</w:t>
      </w:r>
      <w:r w:rsidRPr="00676849">
        <w:rPr>
          <w:rFonts w:eastAsia="Times New Roman"/>
          <w:kern w:val="0"/>
          <w:lang w:val="en-US" w:eastAsia="pl-PL"/>
        </w:rPr>
        <w:t>. Journal of Research in Science Teaching, 30(8) (</w:t>
      </w:r>
      <w:proofErr w:type="gramStart"/>
      <w:r w:rsidRPr="00676849">
        <w:rPr>
          <w:rFonts w:eastAsia="Times New Roman"/>
          <w:kern w:val="0"/>
          <w:lang w:val="en-US" w:eastAsia="pl-PL"/>
        </w:rPr>
        <w:t>str</w:t>
      </w:r>
      <w:proofErr w:type="gramEnd"/>
      <w:r w:rsidRPr="00676849">
        <w:rPr>
          <w:rFonts w:eastAsia="Times New Roman"/>
          <w:kern w:val="0"/>
          <w:lang w:val="en-US" w:eastAsia="pl-PL"/>
        </w:rPr>
        <w:t>. 953-969).</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Anderson, N. J. (1991). </w:t>
      </w:r>
      <w:proofErr w:type="gramStart"/>
      <w:r w:rsidRPr="00676849">
        <w:rPr>
          <w:rFonts w:eastAsia="Times New Roman"/>
          <w:i/>
          <w:kern w:val="0"/>
          <w:lang w:val="en-US" w:eastAsia="pl-PL"/>
        </w:rPr>
        <w:t>Individual differences in strategy use in second language reading and testing</w:t>
      </w:r>
      <w:r w:rsidRPr="00676849">
        <w:rPr>
          <w:rFonts w:eastAsia="Times New Roman"/>
          <w:kern w:val="0"/>
          <w:lang w:val="en-US" w:eastAsia="pl-PL"/>
        </w:rPr>
        <w:t>.</w:t>
      </w:r>
      <w:proofErr w:type="gramEnd"/>
      <w:r w:rsidRPr="00676849">
        <w:rPr>
          <w:rFonts w:eastAsia="Times New Roman"/>
          <w:kern w:val="0"/>
          <w:lang w:val="en-US" w:eastAsia="pl-PL"/>
        </w:rPr>
        <w:t xml:space="preserve"> </w:t>
      </w:r>
      <w:proofErr w:type="gramStart"/>
      <w:r w:rsidRPr="00676849">
        <w:rPr>
          <w:rFonts w:eastAsia="Times New Roman"/>
          <w:iCs/>
          <w:kern w:val="0"/>
          <w:lang w:val="en-US" w:eastAsia="pl-PL"/>
        </w:rPr>
        <w:t>Modern Language Journal</w:t>
      </w:r>
      <w:r w:rsidRPr="00676849">
        <w:rPr>
          <w:rFonts w:eastAsia="Times New Roman"/>
          <w:kern w:val="0"/>
          <w:lang w:val="en-US" w:eastAsia="pl-PL"/>
        </w:rPr>
        <w:t>, 75.</w:t>
      </w:r>
      <w:proofErr w:type="gramEnd"/>
    </w:p>
    <w:p w:rsidR="00B3075F" w:rsidRPr="00676849" w:rsidRDefault="00B3075F" w:rsidP="00B3075F">
      <w:pPr>
        <w:spacing w:after="120"/>
        <w:ind w:left="720" w:hanging="720"/>
        <w:jc w:val="left"/>
        <w:rPr>
          <w:lang w:val="en-US"/>
        </w:rPr>
      </w:pPr>
      <w:r w:rsidRPr="00676849">
        <w:rPr>
          <w:lang w:val="en-US"/>
        </w:rPr>
        <w:t xml:space="preserve">Anderson, NJ (2002). </w:t>
      </w:r>
      <w:proofErr w:type="gramStart"/>
      <w:r w:rsidRPr="00676849">
        <w:rPr>
          <w:i/>
          <w:lang w:val="en-US"/>
        </w:rPr>
        <w:t>The role of metacognition in second language teaching and learning</w:t>
      </w:r>
      <w:r w:rsidRPr="00676849">
        <w:rPr>
          <w:lang w:val="en-US"/>
        </w:rPr>
        <w:t>.</w:t>
      </w:r>
      <w:proofErr w:type="gramEnd"/>
      <w:r w:rsidRPr="00676849">
        <w:rPr>
          <w:lang w:val="en-US"/>
        </w:rPr>
        <w:t xml:space="preserve"> ERIC </w:t>
      </w:r>
      <w:proofErr w:type="gramStart"/>
      <w:r w:rsidRPr="00676849">
        <w:rPr>
          <w:lang w:val="en-US"/>
        </w:rPr>
        <w:t>Digest ,</w:t>
      </w:r>
      <w:proofErr w:type="gramEnd"/>
      <w:r w:rsidRPr="00676849">
        <w:rPr>
          <w:lang w:val="en-US"/>
        </w:rPr>
        <w:t xml:space="preserve"> April 2002.</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Atkinson, R.C. </w:t>
      </w:r>
      <w:proofErr w:type="spellStart"/>
      <w:r w:rsidRPr="00676849">
        <w:rPr>
          <w:rFonts w:eastAsia="Times New Roman"/>
          <w:kern w:val="0"/>
          <w:lang w:val="en-US" w:eastAsia="pl-PL"/>
        </w:rPr>
        <w:t>Shiffrin</w:t>
      </w:r>
      <w:proofErr w:type="spellEnd"/>
      <w:r w:rsidRPr="00676849">
        <w:rPr>
          <w:rFonts w:eastAsia="Times New Roman"/>
          <w:kern w:val="0"/>
          <w:lang w:val="en-US" w:eastAsia="pl-PL"/>
        </w:rPr>
        <w:t xml:space="preserve">, R.M. (1968). </w:t>
      </w:r>
      <w:r w:rsidRPr="00676849">
        <w:rPr>
          <w:rFonts w:eastAsia="Times New Roman"/>
          <w:i/>
          <w:kern w:val="0"/>
          <w:lang w:val="en-US" w:eastAsia="pl-PL"/>
        </w:rPr>
        <w:t>Human memory: A proposed system and its control processes</w:t>
      </w:r>
      <w:r w:rsidRPr="00676849">
        <w:rPr>
          <w:rFonts w:eastAsia="Times New Roman"/>
          <w:kern w:val="0"/>
          <w:lang w:val="en-US" w:eastAsia="pl-PL"/>
        </w:rPr>
        <w:t xml:space="preserve">. W: K.W. Spence J.T. Spence (red.), </w:t>
      </w:r>
      <w:r w:rsidRPr="00676849">
        <w:rPr>
          <w:rFonts w:eastAsia="Times New Roman"/>
          <w:i/>
          <w:iCs/>
          <w:kern w:val="0"/>
          <w:lang w:val="en-US" w:eastAsia="pl-PL"/>
        </w:rPr>
        <w:t xml:space="preserve">The psychology of learning and motivation: Advances in research and theory. </w:t>
      </w:r>
      <w:proofErr w:type="gramStart"/>
      <w:r w:rsidRPr="00676849">
        <w:rPr>
          <w:rFonts w:eastAsia="Times New Roman"/>
          <w:kern w:val="0"/>
          <w:lang w:val="en-US" w:eastAsia="pl-PL"/>
        </w:rPr>
        <w:t>(t. 2, str. 742-775).</w:t>
      </w:r>
      <w:proofErr w:type="gramEnd"/>
      <w:r w:rsidRPr="00676849">
        <w:rPr>
          <w:rFonts w:eastAsia="Times New Roman"/>
          <w:kern w:val="0"/>
          <w:lang w:val="en-US" w:eastAsia="pl-PL"/>
        </w:rPr>
        <w:t xml:space="preserve"> New York: Academic Press.</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Atkinson, R.C. </w:t>
      </w:r>
      <w:proofErr w:type="spellStart"/>
      <w:r w:rsidRPr="00676849">
        <w:rPr>
          <w:rFonts w:eastAsia="Times New Roman"/>
          <w:kern w:val="0"/>
          <w:lang w:val="en-US" w:eastAsia="pl-PL"/>
        </w:rPr>
        <w:t>Shiffrin</w:t>
      </w:r>
      <w:proofErr w:type="spellEnd"/>
      <w:r w:rsidRPr="00676849">
        <w:rPr>
          <w:rFonts w:eastAsia="Times New Roman"/>
          <w:kern w:val="0"/>
          <w:lang w:val="en-US" w:eastAsia="pl-PL"/>
        </w:rPr>
        <w:t xml:space="preserve">, R.M. (1971). </w:t>
      </w:r>
      <w:proofErr w:type="gramStart"/>
      <w:r w:rsidRPr="00676849">
        <w:rPr>
          <w:rFonts w:eastAsia="Times New Roman"/>
          <w:i/>
          <w:kern w:val="0"/>
          <w:lang w:val="en-US" w:eastAsia="pl-PL"/>
        </w:rPr>
        <w:t>The control of short-term memory</w:t>
      </w:r>
      <w:r w:rsidRPr="00676849">
        <w:rPr>
          <w:rFonts w:eastAsia="Times New Roman"/>
          <w:kern w:val="0"/>
          <w:lang w:val="en-US" w:eastAsia="pl-PL"/>
        </w:rPr>
        <w:t>.</w:t>
      </w:r>
      <w:proofErr w:type="gramEnd"/>
      <w:r w:rsidRPr="00676849">
        <w:rPr>
          <w:rFonts w:eastAsia="Times New Roman"/>
          <w:kern w:val="0"/>
          <w:lang w:val="en-US" w:eastAsia="pl-PL"/>
        </w:rPr>
        <w:t xml:space="preserve"> </w:t>
      </w:r>
      <w:proofErr w:type="gramStart"/>
      <w:r w:rsidRPr="00676849">
        <w:rPr>
          <w:rFonts w:eastAsia="Times New Roman"/>
          <w:iCs/>
          <w:kern w:val="0"/>
          <w:lang w:val="en-US" w:eastAsia="pl-PL"/>
        </w:rPr>
        <w:t>Scientific</w:t>
      </w:r>
      <w:r w:rsidRPr="00676849">
        <w:rPr>
          <w:rFonts w:eastAsia="Times New Roman"/>
          <w:i/>
          <w:iCs/>
          <w:kern w:val="0"/>
          <w:lang w:val="en-US" w:eastAsia="pl-PL"/>
        </w:rPr>
        <w:t xml:space="preserve"> </w:t>
      </w:r>
      <w:r w:rsidRPr="00676849">
        <w:rPr>
          <w:rFonts w:eastAsia="Times New Roman"/>
          <w:iCs/>
          <w:kern w:val="0"/>
          <w:lang w:val="en-US" w:eastAsia="pl-PL"/>
        </w:rPr>
        <w:t>American</w:t>
      </w:r>
      <w:r w:rsidRPr="00676849">
        <w:rPr>
          <w:rFonts w:eastAsia="Times New Roman"/>
          <w:kern w:val="0"/>
          <w:lang w:val="en-US" w:eastAsia="pl-PL"/>
        </w:rPr>
        <w:t xml:space="preserve">, </w:t>
      </w:r>
      <w:r w:rsidRPr="00676849">
        <w:rPr>
          <w:rFonts w:eastAsia="Times New Roman"/>
          <w:bCs/>
          <w:kern w:val="0"/>
          <w:lang w:val="en-US" w:eastAsia="pl-PL"/>
        </w:rPr>
        <w:t>224</w:t>
      </w:r>
      <w:r w:rsidRPr="00676849">
        <w:rPr>
          <w:rFonts w:eastAsia="Times New Roman"/>
          <w:kern w:val="0"/>
          <w:lang w:val="en-US" w:eastAsia="pl-PL"/>
        </w:rPr>
        <w:t>.</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proofErr w:type="gramStart"/>
      <w:r w:rsidRPr="00676849">
        <w:rPr>
          <w:rFonts w:eastAsia="Times New Roman"/>
          <w:kern w:val="0"/>
          <w:lang w:val="en-US" w:eastAsia="pl-PL"/>
        </w:rPr>
        <w:t>Ausubel</w:t>
      </w:r>
      <w:proofErr w:type="spellEnd"/>
      <w:r w:rsidRPr="00676849">
        <w:rPr>
          <w:rFonts w:eastAsia="Times New Roman"/>
          <w:kern w:val="0"/>
          <w:lang w:val="en-US" w:eastAsia="pl-PL"/>
        </w:rPr>
        <w:t>, D. P., Novak, J. D. (1978).</w:t>
      </w:r>
      <w:proofErr w:type="gramEnd"/>
      <w:r w:rsidRPr="00676849">
        <w:rPr>
          <w:rFonts w:eastAsia="Times New Roman"/>
          <w:kern w:val="0"/>
          <w:lang w:val="en-US" w:eastAsia="pl-PL"/>
        </w:rPr>
        <w:t xml:space="preserve"> </w:t>
      </w:r>
      <w:proofErr w:type="gramStart"/>
      <w:r w:rsidRPr="00676849">
        <w:rPr>
          <w:rFonts w:eastAsia="Times New Roman"/>
          <w:i/>
          <w:kern w:val="0"/>
          <w:lang w:val="en-US" w:eastAsia="pl-PL"/>
        </w:rPr>
        <w:t>Meaningful reception learning and retention</w:t>
      </w:r>
      <w:r w:rsidRPr="00676849">
        <w:rPr>
          <w:rFonts w:eastAsia="Times New Roman"/>
          <w:kern w:val="0"/>
          <w:lang w:val="en-US" w:eastAsia="pl-PL"/>
        </w:rPr>
        <w:t>.</w:t>
      </w:r>
      <w:proofErr w:type="gramEnd"/>
      <w:r w:rsidRPr="00676849">
        <w:rPr>
          <w:rFonts w:eastAsia="Times New Roman"/>
          <w:kern w:val="0"/>
          <w:lang w:val="en-US" w:eastAsia="pl-PL"/>
        </w:rPr>
        <w:t xml:space="preserve"> W: J. D. </w:t>
      </w:r>
      <w:proofErr w:type="spellStart"/>
      <w:r w:rsidRPr="00676849">
        <w:rPr>
          <w:rFonts w:eastAsia="Times New Roman"/>
          <w:kern w:val="0"/>
          <w:lang w:val="en-US" w:eastAsia="pl-PL"/>
        </w:rPr>
        <w:t>Ausubel</w:t>
      </w:r>
      <w:proofErr w:type="spellEnd"/>
      <w:r w:rsidRPr="00676849">
        <w:rPr>
          <w:rFonts w:eastAsia="Times New Roman"/>
          <w:kern w:val="0"/>
          <w:lang w:val="en-US" w:eastAsia="pl-PL"/>
        </w:rPr>
        <w:t xml:space="preserve">, J. D. Novak, H. </w:t>
      </w:r>
      <w:proofErr w:type="spellStart"/>
      <w:r w:rsidRPr="00676849">
        <w:rPr>
          <w:rFonts w:eastAsia="Times New Roman"/>
          <w:kern w:val="0"/>
          <w:lang w:val="en-US" w:eastAsia="pl-PL"/>
        </w:rPr>
        <w:t>Hanesian</w:t>
      </w:r>
      <w:proofErr w:type="spellEnd"/>
      <w:r w:rsidRPr="00676849">
        <w:rPr>
          <w:rFonts w:eastAsia="Times New Roman"/>
          <w:kern w:val="0"/>
          <w:lang w:val="en-US" w:eastAsia="pl-PL"/>
        </w:rPr>
        <w:t xml:space="preserve">, (red.) </w:t>
      </w:r>
      <w:r w:rsidRPr="00676849">
        <w:rPr>
          <w:rFonts w:eastAsia="Times New Roman"/>
          <w:i/>
          <w:iCs/>
          <w:kern w:val="0"/>
          <w:lang w:val="en-US" w:eastAsia="pl-PL"/>
        </w:rPr>
        <w:t xml:space="preserve">Educational psychology: A cognitive view </w:t>
      </w:r>
      <w:r w:rsidRPr="00676849">
        <w:rPr>
          <w:rFonts w:eastAsia="Times New Roman"/>
          <w:kern w:val="0"/>
          <w:lang w:val="en-US" w:eastAsia="pl-PL"/>
        </w:rPr>
        <w:t>(</w:t>
      </w:r>
      <w:proofErr w:type="spellStart"/>
      <w:r w:rsidRPr="00676849">
        <w:rPr>
          <w:rFonts w:eastAsia="Times New Roman"/>
          <w:kern w:val="0"/>
          <w:lang w:val="en-US" w:eastAsia="pl-PL"/>
        </w:rPr>
        <w:t>rozdz</w:t>
      </w:r>
      <w:proofErr w:type="spellEnd"/>
      <w:r w:rsidRPr="00676849">
        <w:rPr>
          <w:rFonts w:eastAsia="Times New Roman"/>
          <w:kern w:val="0"/>
          <w:lang w:val="en-US" w:eastAsia="pl-PL"/>
        </w:rPr>
        <w:t>. 4, str. 114–160). New 291 York: Holt Rinehart and Winston.</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eastAsia="pl-PL"/>
        </w:rPr>
        <w:t xml:space="preserve">Bandura, A., </w:t>
      </w:r>
      <w:proofErr w:type="spellStart"/>
      <w:r w:rsidRPr="00676849">
        <w:rPr>
          <w:rFonts w:eastAsia="Times New Roman"/>
          <w:kern w:val="0"/>
          <w:lang w:eastAsia="pl-PL"/>
        </w:rPr>
        <w:t>Schunk</w:t>
      </w:r>
      <w:proofErr w:type="spellEnd"/>
      <w:r w:rsidRPr="00676849">
        <w:rPr>
          <w:rFonts w:eastAsia="Times New Roman"/>
          <w:kern w:val="0"/>
          <w:lang w:eastAsia="pl-PL"/>
        </w:rPr>
        <w:t xml:space="preserve">, D. H. (1981). </w:t>
      </w:r>
      <w:r w:rsidRPr="00676849">
        <w:rPr>
          <w:rFonts w:eastAsia="Times New Roman"/>
          <w:i/>
          <w:kern w:val="0"/>
          <w:lang w:val="en-US" w:eastAsia="pl-PL"/>
        </w:rPr>
        <w:t>Cultivating competence, self-efficacy, and intrinsic interest through proximal self-motivation</w:t>
      </w:r>
      <w:r w:rsidRPr="00676849">
        <w:rPr>
          <w:rFonts w:eastAsia="Times New Roman"/>
          <w:kern w:val="0"/>
          <w:lang w:val="en-US" w:eastAsia="pl-PL"/>
        </w:rPr>
        <w:t xml:space="preserve">. </w:t>
      </w:r>
      <w:proofErr w:type="gramStart"/>
      <w:r w:rsidRPr="00676849">
        <w:rPr>
          <w:rFonts w:eastAsia="Times New Roman"/>
          <w:kern w:val="0"/>
          <w:lang w:val="en-US" w:eastAsia="pl-PL"/>
        </w:rPr>
        <w:t>Journal of Personality and Social Psychology, 41.</w:t>
      </w:r>
      <w:proofErr w:type="gramEnd"/>
    </w:p>
    <w:p w:rsidR="00B3075F" w:rsidRPr="00676849" w:rsidRDefault="00B3075F" w:rsidP="00B3075F">
      <w:pPr>
        <w:spacing w:after="120"/>
        <w:ind w:left="720" w:hanging="720"/>
        <w:jc w:val="left"/>
        <w:rPr>
          <w:lang w:val="en-US"/>
        </w:rPr>
      </w:pPr>
      <w:r w:rsidRPr="00676849">
        <w:rPr>
          <w:lang w:val="en-US"/>
        </w:rPr>
        <w:t xml:space="preserve">Bandura, A. (1977). </w:t>
      </w:r>
      <w:proofErr w:type="gramStart"/>
      <w:r w:rsidRPr="00676849">
        <w:rPr>
          <w:i/>
          <w:lang w:val="en-US"/>
        </w:rPr>
        <w:t>Self-efficacy: Toward a unifying theory of behavioral change</w:t>
      </w:r>
      <w:r w:rsidRPr="00676849">
        <w:rPr>
          <w:lang w:val="en-US"/>
        </w:rPr>
        <w:t>.</w:t>
      </w:r>
      <w:proofErr w:type="gramEnd"/>
      <w:r w:rsidRPr="00676849">
        <w:rPr>
          <w:lang w:val="en-US"/>
        </w:rPr>
        <w:t xml:space="preserve"> </w:t>
      </w:r>
      <w:proofErr w:type="gramStart"/>
      <w:r w:rsidRPr="00676849">
        <w:rPr>
          <w:lang w:val="en-US"/>
        </w:rPr>
        <w:t>Psychological Review,</w:t>
      </w:r>
      <w:r w:rsidRPr="00676849">
        <w:rPr>
          <w:i/>
          <w:lang w:val="en-US"/>
        </w:rPr>
        <w:t xml:space="preserve"> </w:t>
      </w:r>
      <w:r w:rsidRPr="00676849">
        <w:rPr>
          <w:lang w:val="en-US"/>
        </w:rPr>
        <w:t>84.</w:t>
      </w:r>
      <w:proofErr w:type="gramEnd"/>
      <w:r w:rsidRPr="00676849">
        <w:rPr>
          <w:lang w:val="en-US"/>
        </w:rPr>
        <w:t xml:space="preserve"> </w:t>
      </w:r>
    </w:p>
    <w:p w:rsidR="00B3075F" w:rsidRPr="00676849" w:rsidRDefault="00B3075F" w:rsidP="00B3075F">
      <w:pPr>
        <w:spacing w:after="120"/>
        <w:ind w:left="720" w:hanging="720"/>
        <w:jc w:val="left"/>
        <w:rPr>
          <w:lang w:val="en-US"/>
        </w:rPr>
      </w:pPr>
      <w:r w:rsidRPr="00676849">
        <w:rPr>
          <w:lang w:val="en-US"/>
        </w:rPr>
        <w:t xml:space="preserve">Bandura, A. (1986). </w:t>
      </w:r>
      <w:r w:rsidRPr="00676849">
        <w:rPr>
          <w:i/>
          <w:lang w:val="en-US"/>
        </w:rPr>
        <w:t>Social foundations of thought and action: A social cognitive theory</w:t>
      </w:r>
      <w:r w:rsidRPr="00676849">
        <w:rPr>
          <w:lang w:val="en-US"/>
        </w:rPr>
        <w:t xml:space="preserve">. Englewood Cliffs, NJ: Prentice Hall. </w:t>
      </w:r>
    </w:p>
    <w:p w:rsidR="00B3075F" w:rsidRPr="00676849" w:rsidRDefault="00B3075F" w:rsidP="00B3075F">
      <w:pPr>
        <w:spacing w:after="120"/>
        <w:ind w:left="720" w:hanging="720"/>
        <w:jc w:val="left"/>
        <w:rPr>
          <w:lang w:val="en-US"/>
        </w:rPr>
      </w:pPr>
      <w:r w:rsidRPr="00676849">
        <w:rPr>
          <w:lang w:val="en-US"/>
        </w:rPr>
        <w:t xml:space="preserve">Bandura, A. (1989). </w:t>
      </w:r>
      <w:proofErr w:type="gramStart"/>
      <w:r w:rsidRPr="00676849">
        <w:rPr>
          <w:i/>
          <w:lang w:val="en-US"/>
        </w:rPr>
        <w:t>Human agency in social cognitive theory</w:t>
      </w:r>
      <w:r w:rsidRPr="00676849">
        <w:rPr>
          <w:lang w:val="en-US"/>
        </w:rPr>
        <w:t>.</w:t>
      </w:r>
      <w:proofErr w:type="gramEnd"/>
      <w:r w:rsidRPr="00676849">
        <w:rPr>
          <w:lang w:val="en-US"/>
        </w:rPr>
        <w:t xml:space="preserve"> American Psychologist</w:t>
      </w:r>
      <w:r w:rsidRPr="00676849">
        <w:rPr>
          <w:i/>
          <w:lang w:val="en-US"/>
        </w:rPr>
        <w:t xml:space="preserve">, </w:t>
      </w:r>
    </w:p>
    <w:p w:rsidR="00B3075F" w:rsidRPr="00676849" w:rsidRDefault="00B3075F" w:rsidP="00B3075F">
      <w:pPr>
        <w:spacing w:after="120"/>
        <w:ind w:left="720" w:hanging="720"/>
        <w:jc w:val="left"/>
        <w:rPr>
          <w:lang w:val="en-US"/>
        </w:rPr>
      </w:pPr>
      <w:r w:rsidRPr="00676849">
        <w:rPr>
          <w:lang w:val="en-US"/>
        </w:rPr>
        <w:t xml:space="preserve">Bandura, A. (1993). </w:t>
      </w:r>
      <w:proofErr w:type="gramStart"/>
      <w:r w:rsidRPr="00676849">
        <w:rPr>
          <w:i/>
          <w:lang w:val="en-US"/>
        </w:rPr>
        <w:t>Perceived self-efficacy in cognitive development and functioning</w:t>
      </w:r>
      <w:r w:rsidRPr="00676849">
        <w:rPr>
          <w:lang w:val="en-US"/>
        </w:rPr>
        <w:t>.</w:t>
      </w:r>
      <w:proofErr w:type="gramEnd"/>
      <w:r w:rsidRPr="00676849">
        <w:rPr>
          <w:lang w:val="en-US"/>
        </w:rPr>
        <w:t xml:space="preserve"> Educational Psychologist, 28</w:t>
      </w:r>
    </w:p>
    <w:p w:rsidR="00B3075F" w:rsidRPr="00676849" w:rsidRDefault="00B3075F" w:rsidP="00B3075F">
      <w:pPr>
        <w:spacing w:after="120"/>
        <w:ind w:left="720" w:hanging="720"/>
        <w:jc w:val="left"/>
        <w:rPr>
          <w:lang w:val="en-US"/>
        </w:rPr>
      </w:pPr>
      <w:r w:rsidRPr="00676849">
        <w:rPr>
          <w:lang w:val="en-US"/>
        </w:rPr>
        <w:t xml:space="preserve">Bandura, A. (1995). </w:t>
      </w:r>
      <w:r w:rsidRPr="00676849">
        <w:rPr>
          <w:i/>
          <w:lang w:val="en-US"/>
        </w:rPr>
        <w:t>Exercise of personal and collective efficacy in changing societies</w:t>
      </w:r>
      <w:r w:rsidRPr="00676849">
        <w:rPr>
          <w:lang w:val="en-US"/>
        </w:rPr>
        <w:t xml:space="preserve">. W: A. Bandura (red.), </w:t>
      </w:r>
      <w:r w:rsidRPr="00676849">
        <w:rPr>
          <w:i/>
          <w:lang w:val="en-US"/>
        </w:rPr>
        <w:t xml:space="preserve">Self-efficacy in changing societies </w:t>
      </w:r>
      <w:r w:rsidRPr="00676849">
        <w:rPr>
          <w:lang w:val="en-US"/>
        </w:rPr>
        <w:t>(str. 1-45). Cambridge, U.K.: Cambridge University Press.</w:t>
      </w:r>
    </w:p>
    <w:p w:rsidR="00B3075F" w:rsidRPr="00676849" w:rsidRDefault="00B3075F" w:rsidP="00B3075F">
      <w:pPr>
        <w:spacing w:after="120"/>
        <w:ind w:left="720" w:hanging="720"/>
        <w:jc w:val="left"/>
        <w:rPr>
          <w:lang w:val="en-US"/>
        </w:rPr>
      </w:pPr>
      <w:r w:rsidRPr="00676849">
        <w:rPr>
          <w:lang w:val="en-US"/>
        </w:rPr>
        <w:t xml:space="preserve">Bandura, A. (1997). </w:t>
      </w:r>
      <w:r w:rsidRPr="00676849">
        <w:rPr>
          <w:i/>
          <w:lang w:val="en-US"/>
        </w:rPr>
        <w:t>Self-efficacy: The exercise of control</w:t>
      </w:r>
      <w:r w:rsidRPr="00676849">
        <w:rPr>
          <w:lang w:val="en-US"/>
        </w:rPr>
        <w:t>. New York: W.H. Freeman and Company.</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Bembenutty</w:t>
      </w:r>
      <w:proofErr w:type="spellEnd"/>
      <w:r w:rsidRPr="00676849">
        <w:rPr>
          <w:rFonts w:eastAsia="Times New Roman"/>
          <w:kern w:val="0"/>
          <w:lang w:val="en-US" w:eastAsia="pl-PL"/>
        </w:rPr>
        <w:t xml:space="preserve">, H., </w:t>
      </w:r>
      <w:proofErr w:type="spellStart"/>
      <w:r w:rsidRPr="00676849">
        <w:rPr>
          <w:rFonts w:eastAsia="Times New Roman"/>
          <w:kern w:val="0"/>
          <w:lang w:val="en-US" w:eastAsia="pl-PL"/>
        </w:rPr>
        <w:t>Karabenick</w:t>
      </w:r>
      <w:proofErr w:type="spellEnd"/>
      <w:r w:rsidRPr="00676849">
        <w:rPr>
          <w:rFonts w:eastAsia="Times New Roman"/>
          <w:kern w:val="0"/>
          <w:lang w:val="en-US" w:eastAsia="pl-PL"/>
        </w:rPr>
        <w:t xml:space="preserve">, S. A. (2004). </w:t>
      </w:r>
      <w:r w:rsidRPr="00676849">
        <w:rPr>
          <w:rFonts w:eastAsia="Times New Roman"/>
          <w:i/>
          <w:kern w:val="0"/>
          <w:lang w:val="en-US" w:eastAsia="pl-PL"/>
        </w:rPr>
        <w:t>Inherent association between academic delay of gratification, future time perspective, and self-regulated learning: Effects of time perspective on student motivation</w:t>
      </w:r>
      <w:r w:rsidRPr="00676849">
        <w:rPr>
          <w:rFonts w:eastAsia="Times New Roman"/>
          <w:kern w:val="0"/>
          <w:lang w:val="en-US" w:eastAsia="pl-PL"/>
        </w:rPr>
        <w:t xml:space="preserve">. </w:t>
      </w:r>
      <w:proofErr w:type="gramStart"/>
      <w:r w:rsidRPr="00676849">
        <w:rPr>
          <w:rFonts w:eastAsia="Times New Roman"/>
          <w:kern w:val="0"/>
          <w:lang w:val="en-US" w:eastAsia="pl-PL"/>
        </w:rPr>
        <w:t>Educational Psychology Review, 16(1).</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Bembenutty</w:t>
      </w:r>
      <w:proofErr w:type="spellEnd"/>
      <w:r w:rsidRPr="00676849">
        <w:rPr>
          <w:rFonts w:eastAsia="Times New Roman"/>
          <w:kern w:val="0"/>
          <w:lang w:val="en-US" w:eastAsia="pl-PL"/>
        </w:rPr>
        <w:t xml:space="preserve">, H. (2007). </w:t>
      </w:r>
      <w:proofErr w:type="gramStart"/>
      <w:r w:rsidRPr="00676849">
        <w:rPr>
          <w:rFonts w:eastAsia="Times New Roman"/>
          <w:i/>
          <w:kern w:val="0"/>
          <w:lang w:val="en-US" w:eastAsia="pl-PL"/>
        </w:rPr>
        <w:t>Teachers’ self-efficacy and self-regulation</w:t>
      </w:r>
      <w:r w:rsidRPr="00676849">
        <w:rPr>
          <w:rFonts w:eastAsia="Times New Roman"/>
          <w:kern w:val="0"/>
          <w:lang w:val="en-US" w:eastAsia="pl-PL"/>
        </w:rPr>
        <w:t>.</w:t>
      </w:r>
      <w:proofErr w:type="gramEnd"/>
      <w:r w:rsidRPr="00676849">
        <w:rPr>
          <w:rFonts w:eastAsia="Times New Roman"/>
          <w:kern w:val="0"/>
          <w:lang w:val="en-US" w:eastAsia="pl-PL"/>
        </w:rPr>
        <w:t xml:space="preserve"> </w:t>
      </w:r>
      <w:proofErr w:type="gramStart"/>
      <w:r w:rsidRPr="00676849">
        <w:rPr>
          <w:rFonts w:eastAsia="Times New Roman"/>
          <w:kern w:val="0"/>
          <w:lang w:val="en-US" w:eastAsia="pl-PL"/>
        </w:rPr>
        <w:t>Academic Exchange Quarterly, 11(1).</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Bjorkman</w:t>
      </w:r>
      <w:proofErr w:type="spellEnd"/>
      <w:r w:rsidRPr="00676849">
        <w:rPr>
          <w:rFonts w:eastAsia="Times New Roman"/>
          <w:kern w:val="0"/>
          <w:lang w:val="en-US" w:eastAsia="pl-PL"/>
        </w:rPr>
        <w:t xml:space="preserve">, M. (1992). </w:t>
      </w:r>
      <w:r w:rsidRPr="00676849">
        <w:rPr>
          <w:rFonts w:eastAsia="Times New Roman"/>
          <w:i/>
          <w:kern w:val="0"/>
          <w:lang w:val="en-US" w:eastAsia="pl-PL"/>
        </w:rPr>
        <w:t>Knowledge, calibration, and the resolution: A linear model.</w:t>
      </w:r>
      <w:r w:rsidRPr="00676849">
        <w:rPr>
          <w:rFonts w:eastAsia="Times New Roman"/>
          <w:kern w:val="0"/>
          <w:lang w:val="en-US" w:eastAsia="pl-PL"/>
        </w:rPr>
        <w:t xml:space="preserve"> </w:t>
      </w:r>
      <w:r w:rsidRPr="00676849">
        <w:rPr>
          <w:rFonts w:eastAsia="Times New Roman"/>
          <w:iCs/>
          <w:kern w:val="0"/>
          <w:lang w:val="en-US" w:eastAsia="pl-PL"/>
        </w:rPr>
        <w:t>Organizational Behavior and Human Decision Processes</w:t>
      </w:r>
      <w:r w:rsidRPr="00676849">
        <w:rPr>
          <w:rFonts w:eastAsia="Times New Roman"/>
          <w:kern w:val="0"/>
          <w:lang w:val="en-US" w:eastAsia="pl-PL"/>
        </w:rPr>
        <w:t>, 51.</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Boekaerts</w:t>
      </w:r>
      <w:proofErr w:type="spellEnd"/>
      <w:r w:rsidRPr="00676849">
        <w:rPr>
          <w:rFonts w:eastAsia="Times New Roman"/>
          <w:kern w:val="0"/>
          <w:lang w:val="en-US" w:eastAsia="pl-PL"/>
        </w:rPr>
        <w:t xml:space="preserve">, M. (1995). </w:t>
      </w:r>
      <w:r w:rsidRPr="00676849">
        <w:rPr>
          <w:rFonts w:eastAsia="Times New Roman"/>
          <w:i/>
          <w:kern w:val="0"/>
          <w:lang w:val="en-US" w:eastAsia="pl-PL"/>
        </w:rPr>
        <w:t xml:space="preserve">Self-regulated learning: Bridging the gap between metacognition and </w:t>
      </w:r>
      <w:proofErr w:type="spellStart"/>
      <w:r w:rsidRPr="00676849">
        <w:rPr>
          <w:rFonts w:eastAsia="Times New Roman"/>
          <w:i/>
          <w:kern w:val="0"/>
          <w:lang w:val="en-US" w:eastAsia="pl-PL"/>
        </w:rPr>
        <w:t>metamotivation</w:t>
      </w:r>
      <w:proofErr w:type="spellEnd"/>
      <w:r w:rsidRPr="00676849">
        <w:rPr>
          <w:rFonts w:eastAsia="Times New Roman"/>
          <w:i/>
          <w:kern w:val="0"/>
          <w:lang w:val="en-US" w:eastAsia="pl-PL"/>
        </w:rPr>
        <w:t xml:space="preserve"> theories</w:t>
      </w:r>
      <w:r w:rsidRPr="00676849">
        <w:rPr>
          <w:rFonts w:eastAsia="Times New Roman"/>
          <w:kern w:val="0"/>
          <w:lang w:val="en-US" w:eastAsia="pl-PL"/>
        </w:rPr>
        <w:t xml:space="preserve">. </w:t>
      </w:r>
      <w:proofErr w:type="gramStart"/>
      <w:r w:rsidRPr="00676849">
        <w:rPr>
          <w:rFonts w:eastAsia="Times New Roman"/>
          <w:iCs/>
          <w:kern w:val="0"/>
          <w:lang w:val="en-US" w:eastAsia="pl-PL"/>
        </w:rPr>
        <w:t>Educational Psychologist,</w:t>
      </w:r>
      <w:r w:rsidRPr="00676849">
        <w:rPr>
          <w:rFonts w:eastAsia="Times New Roman"/>
          <w:i/>
          <w:iCs/>
          <w:kern w:val="0"/>
          <w:lang w:val="en-US" w:eastAsia="pl-PL"/>
        </w:rPr>
        <w:t xml:space="preserve"> </w:t>
      </w:r>
      <w:r w:rsidRPr="00676849">
        <w:rPr>
          <w:rFonts w:eastAsia="Times New Roman"/>
          <w:kern w:val="0"/>
          <w:lang w:val="en-US" w:eastAsia="pl-PL"/>
        </w:rPr>
        <w:t>30 (4).</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proofErr w:type="gramStart"/>
      <w:r w:rsidRPr="00676849">
        <w:rPr>
          <w:rFonts w:eastAsia="Times New Roman"/>
          <w:kern w:val="0"/>
          <w:lang w:val="en-US" w:eastAsia="pl-PL"/>
        </w:rPr>
        <w:t>Borkowski</w:t>
      </w:r>
      <w:proofErr w:type="spellEnd"/>
      <w:r w:rsidRPr="00676849">
        <w:rPr>
          <w:rFonts w:eastAsia="Times New Roman"/>
          <w:kern w:val="0"/>
          <w:lang w:val="en-US" w:eastAsia="pl-PL"/>
        </w:rPr>
        <w:t xml:space="preserve">, J. G., Carr, M., </w:t>
      </w:r>
      <w:proofErr w:type="spellStart"/>
      <w:r w:rsidRPr="00676849">
        <w:rPr>
          <w:rFonts w:eastAsia="Times New Roman"/>
          <w:kern w:val="0"/>
          <w:lang w:val="en-US" w:eastAsia="pl-PL"/>
        </w:rPr>
        <w:t>Rellinger</w:t>
      </w:r>
      <w:proofErr w:type="spellEnd"/>
      <w:r w:rsidRPr="00676849">
        <w:rPr>
          <w:rFonts w:eastAsia="Times New Roman"/>
          <w:kern w:val="0"/>
          <w:lang w:val="en-US" w:eastAsia="pl-PL"/>
        </w:rPr>
        <w:t>, L., Pressley, M. (1990).</w:t>
      </w:r>
      <w:proofErr w:type="gramEnd"/>
      <w:r w:rsidRPr="00676849">
        <w:rPr>
          <w:rFonts w:eastAsia="Times New Roman"/>
          <w:kern w:val="0"/>
          <w:lang w:val="en-US" w:eastAsia="pl-PL"/>
        </w:rPr>
        <w:t xml:space="preserve"> </w:t>
      </w:r>
      <w:r w:rsidRPr="00676849">
        <w:rPr>
          <w:rFonts w:eastAsia="Times New Roman"/>
          <w:i/>
          <w:kern w:val="0"/>
          <w:lang w:val="en-US" w:eastAsia="pl-PL"/>
        </w:rPr>
        <w:t>Self-regulated cognition: Interdependence of metacognition, attributions and self-esteem</w:t>
      </w:r>
      <w:r w:rsidRPr="00676849">
        <w:rPr>
          <w:rFonts w:eastAsia="Times New Roman"/>
          <w:kern w:val="0"/>
          <w:lang w:val="en-US" w:eastAsia="pl-PL"/>
        </w:rPr>
        <w:t xml:space="preserve">. W: B. Jones, L. Idol (red.), </w:t>
      </w:r>
      <w:r w:rsidRPr="00676849">
        <w:rPr>
          <w:rFonts w:eastAsia="Times New Roman"/>
          <w:i/>
          <w:kern w:val="0"/>
          <w:lang w:val="en-US" w:eastAsia="pl-PL"/>
        </w:rPr>
        <w:t>Dimensions of thinking and cognitive instruction</w:t>
      </w:r>
      <w:r w:rsidRPr="00676849">
        <w:rPr>
          <w:rFonts w:eastAsia="Times New Roman"/>
          <w:kern w:val="0"/>
          <w:lang w:val="en-US" w:eastAsia="pl-PL"/>
        </w:rPr>
        <w:t xml:space="preserve"> (str. 53-92). Hillsdale, NJ: Lawrence Erlbaum Associates, Inc. </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Bransford</w:t>
      </w:r>
      <w:proofErr w:type="spellEnd"/>
      <w:r w:rsidRPr="00676849">
        <w:rPr>
          <w:rFonts w:eastAsia="Times New Roman"/>
          <w:kern w:val="0"/>
          <w:lang w:val="en-US" w:eastAsia="pl-PL"/>
        </w:rPr>
        <w:t xml:space="preserve">, J. D., Brown, A. L., Cocking, R. R. (2000). </w:t>
      </w:r>
      <w:r w:rsidRPr="00676849">
        <w:rPr>
          <w:rFonts w:eastAsia="Times New Roman"/>
          <w:i/>
          <w:iCs/>
          <w:kern w:val="0"/>
          <w:lang w:val="en-US" w:eastAsia="pl-PL"/>
        </w:rPr>
        <w:t xml:space="preserve">How people learn: Brain, mind, experience, and school. </w:t>
      </w:r>
      <w:r w:rsidRPr="00676849">
        <w:rPr>
          <w:rFonts w:eastAsia="Times New Roman"/>
          <w:kern w:val="0"/>
          <w:lang w:val="en-US" w:eastAsia="pl-PL"/>
        </w:rPr>
        <w:t>Washington, DC: National Academy Press.</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Brown, A. L. (1978). </w:t>
      </w:r>
      <w:proofErr w:type="gramStart"/>
      <w:r w:rsidRPr="00676849">
        <w:rPr>
          <w:rFonts w:eastAsia="Times New Roman"/>
          <w:i/>
          <w:kern w:val="0"/>
          <w:lang w:val="en-US" w:eastAsia="pl-PL"/>
        </w:rPr>
        <w:t>Executive control, self- regulation, and other more mysterious mechanisms</w:t>
      </w:r>
      <w:r w:rsidRPr="00676849">
        <w:rPr>
          <w:rFonts w:eastAsia="Times New Roman"/>
          <w:kern w:val="0"/>
          <w:lang w:val="en-US" w:eastAsia="pl-PL"/>
        </w:rPr>
        <w:t>.</w:t>
      </w:r>
      <w:proofErr w:type="gramEnd"/>
      <w:r w:rsidRPr="00676849">
        <w:rPr>
          <w:rFonts w:eastAsia="Times New Roman"/>
          <w:kern w:val="0"/>
          <w:lang w:val="en-US" w:eastAsia="pl-PL"/>
        </w:rPr>
        <w:t xml:space="preserve"> W: F. </w:t>
      </w:r>
      <w:proofErr w:type="spellStart"/>
      <w:proofErr w:type="gramStart"/>
      <w:r w:rsidRPr="00676849">
        <w:rPr>
          <w:rFonts w:eastAsia="Times New Roman"/>
          <w:kern w:val="0"/>
          <w:lang w:val="en-US" w:eastAsia="pl-PL"/>
        </w:rPr>
        <w:t>Weinart</w:t>
      </w:r>
      <w:proofErr w:type="spellEnd"/>
      <w:r w:rsidRPr="00676849">
        <w:rPr>
          <w:rFonts w:eastAsia="Times New Roman"/>
          <w:kern w:val="0"/>
          <w:lang w:val="en-US" w:eastAsia="pl-PL"/>
        </w:rPr>
        <w:t xml:space="preserve">  R</w:t>
      </w:r>
      <w:proofErr w:type="gramEnd"/>
      <w:r w:rsidRPr="00676849">
        <w:rPr>
          <w:rFonts w:eastAsia="Times New Roman"/>
          <w:kern w:val="0"/>
          <w:lang w:val="en-US" w:eastAsia="pl-PL"/>
        </w:rPr>
        <w:t xml:space="preserve">. </w:t>
      </w:r>
      <w:proofErr w:type="spellStart"/>
      <w:r w:rsidRPr="00676849">
        <w:rPr>
          <w:rFonts w:eastAsia="Times New Roman"/>
          <w:kern w:val="0"/>
          <w:lang w:val="en-US" w:eastAsia="pl-PL"/>
        </w:rPr>
        <w:t>Kluwe</w:t>
      </w:r>
      <w:proofErr w:type="spellEnd"/>
      <w:r w:rsidRPr="00676849">
        <w:rPr>
          <w:rFonts w:eastAsia="Times New Roman"/>
          <w:kern w:val="0"/>
          <w:lang w:val="en-US" w:eastAsia="pl-PL"/>
        </w:rPr>
        <w:t xml:space="preserve"> (red.), </w:t>
      </w:r>
      <w:r w:rsidRPr="00676849">
        <w:rPr>
          <w:rFonts w:eastAsia="Times New Roman"/>
          <w:i/>
          <w:kern w:val="0"/>
          <w:lang w:val="en-US" w:eastAsia="pl-PL"/>
        </w:rPr>
        <w:t>Metacognition, Motivation and Understanding</w:t>
      </w:r>
      <w:r w:rsidRPr="00676849">
        <w:rPr>
          <w:rFonts w:eastAsia="Times New Roman"/>
          <w:kern w:val="0"/>
          <w:lang w:val="en-US" w:eastAsia="pl-PL"/>
        </w:rPr>
        <w:t xml:space="preserve"> (str. 65-116). Hillsdale, NJ: Erlbaum.</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gramStart"/>
      <w:r w:rsidRPr="00676849">
        <w:rPr>
          <w:rFonts w:eastAsia="Times New Roman"/>
          <w:kern w:val="0"/>
          <w:lang w:val="en-US" w:eastAsia="pl-PL"/>
        </w:rPr>
        <w:t xml:space="preserve">Butler, D. L., </w:t>
      </w:r>
      <w:proofErr w:type="spellStart"/>
      <w:r w:rsidRPr="00676849">
        <w:rPr>
          <w:rFonts w:eastAsia="Times New Roman"/>
          <w:kern w:val="0"/>
          <w:lang w:val="en-US" w:eastAsia="pl-PL"/>
        </w:rPr>
        <w:t>Winne</w:t>
      </w:r>
      <w:proofErr w:type="spellEnd"/>
      <w:r w:rsidRPr="00676849">
        <w:rPr>
          <w:rFonts w:eastAsia="Times New Roman"/>
          <w:kern w:val="0"/>
          <w:lang w:val="en-US" w:eastAsia="pl-PL"/>
        </w:rPr>
        <w:t>, P. H. (1995).</w:t>
      </w:r>
      <w:proofErr w:type="gramEnd"/>
      <w:r w:rsidRPr="00676849">
        <w:rPr>
          <w:rFonts w:eastAsia="Times New Roman"/>
          <w:kern w:val="0"/>
          <w:lang w:val="en-US" w:eastAsia="pl-PL"/>
        </w:rPr>
        <w:t xml:space="preserve"> </w:t>
      </w:r>
      <w:r w:rsidRPr="00676849">
        <w:rPr>
          <w:rFonts w:eastAsia="Times New Roman"/>
          <w:i/>
          <w:kern w:val="0"/>
          <w:lang w:val="en-US" w:eastAsia="pl-PL"/>
        </w:rPr>
        <w:t>Feedback and self-regulated learning: a theoretical synthesis</w:t>
      </w:r>
      <w:r w:rsidRPr="00676849">
        <w:rPr>
          <w:rFonts w:eastAsia="Times New Roman"/>
          <w:kern w:val="0"/>
          <w:lang w:val="en-US" w:eastAsia="pl-PL"/>
        </w:rPr>
        <w:t xml:space="preserve">. </w:t>
      </w:r>
      <w:proofErr w:type="gramStart"/>
      <w:r w:rsidRPr="00676849">
        <w:rPr>
          <w:rFonts w:eastAsia="Times New Roman"/>
          <w:iCs/>
          <w:kern w:val="0"/>
          <w:lang w:val="en-US" w:eastAsia="pl-PL"/>
        </w:rPr>
        <w:t>Review of Educational Research</w:t>
      </w:r>
      <w:r w:rsidRPr="00676849">
        <w:rPr>
          <w:rFonts w:eastAsia="Times New Roman"/>
          <w:kern w:val="0"/>
          <w:lang w:val="en-US" w:eastAsia="pl-PL"/>
        </w:rPr>
        <w:t xml:space="preserve">, </w:t>
      </w:r>
      <w:r w:rsidRPr="00676849">
        <w:rPr>
          <w:rFonts w:eastAsia="Times New Roman"/>
          <w:iCs/>
          <w:kern w:val="0"/>
          <w:lang w:val="en-US" w:eastAsia="pl-PL"/>
        </w:rPr>
        <w:t>65</w:t>
      </w:r>
      <w:r w:rsidRPr="00676849">
        <w:rPr>
          <w:rFonts w:eastAsia="Times New Roman"/>
          <w:kern w:val="0"/>
          <w:lang w:val="en-US" w:eastAsia="pl-PL"/>
        </w:rPr>
        <w:t>, 3.</w:t>
      </w:r>
      <w:proofErr w:type="gramEnd"/>
    </w:p>
    <w:p w:rsidR="00B3075F" w:rsidRPr="00676849" w:rsidRDefault="00B3075F" w:rsidP="00B3075F">
      <w:pPr>
        <w:spacing w:after="120"/>
        <w:ind w:left="720" w:hanging="720"/>
        <w:jc w:val="left"/>
        <w:rPr>
          <w:lang w:val="en-US"/>
        </w:rPr>
      </w:pPr>
      <w:proofErr w:type="spellStart"/>
      <w:r w:rsidRPr="00676849">
        <w:rPr>
          <w:lang w:val="en-US"/>
        </w:rPr>
        <w:t>Buzan</w:t>
      </w:r>
      <w:proofErr w:type="spellEnd"/>
      <w:r w:rsidRPr="00676849">
        <w:rPr>
          <w:lang w:val="en-US"/>
        </w:rPr>
        <w:t xml:space="preserve">, Tony. (2000). </w:t>
      </w:r>
      <w:r w:rsidRPr="00676849">
        <w:rPr>
          <w:i/>
          <w:lang w:val="en-US"/>
        </w:rPr>
        <w:t xml:space="preserve">The Mind Map </w:t>
      </w:r>
      <w:proofErr w:type="gramStart"/>
      <w:r w:rsidRPr="00676849">
        <w:rPr>
          <w:i/>
          <w:lang w:val="en-US"/>
        </w:rPr>
        <w:t xml:space="preserve">Book </w:t>
      </w:r>
      <w:r w:rsidRPr="00676849">
        <w:rPr>
          <w:lang w:val="en-US"/>
        </w:rPr>
        <w:t>,</w:t>
      </w:r>
      <w:proofErr w:type="gramEnd"/>
      <w:r w:rsidRPr="00676849">
        <w:rPr>
          <w:lang w:val="en-US"/>
        </w:rPr>
        <w:t xml:space="preserve"> Penguin Books, 2000.</w:t>
      </w:r>
    </w:p>
    <w:p w:rsidR="00B3075F" w:rsidRPr="00676849" w:rsidRDefault="00B3075F" w:rsidP="00B3075F">
      <w:pPr>
        <w:spacing w:after="120"/>
        <w:ind w:left="720" w:hanging="720"/>
        <w:jc w:val="left"/>
        <w:rPr>
          <w:lang w:val="en-US"/>
        </w:rPr>
      </w:pPr>
      <w:r w:rsidRPr="00676849">
        <w:rPr>
          <w:lang w:val="en-US"/>
        </w:rPr>
        <w:t xml:space="preserve">Chen, PP (2002). </w:t>
      </w:r>
      <w:r w:rsidRPr="00676849">
        <w:rPr>
          <w:i/>
          <w:lang w:val="en-US"/>
        </w:rPr>
        <w:t>Exploring the accuracy and predictability of the self-efficacy beliefs of seventh-grade mathematics students.</w:t>
      </w:r>
      <w:r w:rsidRPr="00676849">
        <w:rPr>
          <w:lang w:val="en-US"/>
        </w:rPr>
        <w:t xml:space="preserve"> Learning and Individual Differences, 14 (1).</w:t>
      </w:r>
    </w:p>
    <w:p w:rsidR="00B3075F" w:rsidRPr="00676849" w:rsidRDefault="00B3075F" w:rsidP="00B3075F">
      <w:pPr>
        <w:widowControl/>
        <w:suppressAutoHyphens w:val="0"/>
        <w:spacing w:after="120"/>
        <w:ind w:left="720" w:hanging="720"/>
        <w:jc w:val="left"/>
        <w:rPr>
          <w:rFonts w:eastAsia="Times New Roman"/>
          <w:kern w:val="0"/>
          <w:lang w:eastAsia="pl-PL"/>
        </w:rPr>
      </w:pPr>
      <w:proofErr w:type="gramStart"/>
      <w:r w:rsidRPr="00676849">
        <w:rPr>
          <w:rFonts w:eastAsia="Times New Roman"/>
          <w:kern w:val="0"/>
          <w:lang w:val="en-US" w:eastAsia="pl-PL"/>
        </w:rPr>
        <w:t xml:space="preserve">Chi, M. T. H., </w:t>
      </w:r>
      <w:proofErr w:type="spellStart"/>
      <w:r w:rsidRPr="00676849">
        <w:rPr>
          <w:rFonts w:eastAsia="Times New Roman"/>
          <w:kern w:val="0"/>
          <w:lang w:val="en-US" w:eastAsia="pl-PL"/>
        </w:rPr>
        <w:t>Bassok</w:t>
      </w:r>
      <w:proofErr w:type="spellEnd"/>
      <w:r w:rsidRPr="00676849">
        <w:rPr>
          <w:rFonts w:eastAsia="Times New Roman"/>
          <w:kern w:val="0"/>
          <w:lang w:val="en-US" w:eastAsia="pl-PL"/>
        </w:rPr>
        <w:t xml:space="preserve">, M., Lewis, M. W., </w:t>
      </w:r>
      <w:proofErr w:type="spellStart"/>
      <w:r w:rsidRPr="00676849">
        <w:rPr>
          <w:rFonts w:eastAsia="Times New Roman"/>
          <w:kern w:val="0"/>
          <w:lang w:val="en-US" w:eastAsia="pl-PL"/>
        </w:rPr>
        <w:t>Reimann</w:t>
      </w:r>
      <w:proofErr w:type="spellEnd"/>
      <w:r w:rsidRPr="00676849">
        <w:rPr>
          <w:rFonts w:eastAsia="Times New Roman"/>
          <w:kern w:val="0"/>
          <w:lang w:val="en-US" w:eastAsia="pl-PL"/>
        </w:rPr>
        <w:t>, P., Glaser, R. (1989).</w:t>
      </w:r>
      <w:proofErr w:type="gramEnd"/>
      <w:r w:rsidRPr="00676849">
        <w:rPr>
          <w:rFonts w:eastAsia="Times New Roman"/>
          <w:kern w:val="0"/>
          <w:lang w:val="en-US" w:eastAsia="pl-PL"/>
        </w:rPr>
        <w:t xml:space="preserve"> </w:t>
      </w:r>
      <w:r w:rsidRPr="00676849">
        <w:rPr>
          <w:rFonts w:eastAsia="Times New Roman"/>
          <w:i/>
          <w:kern w:val="0"/>
          <w:lang w:val="en-US" w:eastAsia="pl-PL"/>
        </w:rPr>
        <w:t>Self-explanations: how students study and use examples in learning to solve problems</w:t>
      </w:r>
      <w:r w:rsidRPr="00676849">
        <w:rPr>
          <w:rFonts w:eastAsia="Times New Roman"/>
          <w:kern w:val="0"/>
          <w:lang w:val="en-US" w:eastAsia="pl-PL"/>
        </w:rPr>
        <w:t xml:space="preserve">. </w:t>
      </w:r>
      <w:proofErr w:type="spellStart"/>
      <w:r w:rsidRPr="00676849">
        <w:rPr>
          <w:rFonts w:eastAsia="Times New Roman"/>
          <w:iCs/>
          <w:kern w:val="0"/>
          <w:lang w:eastAsia="pl-PL"/>
        </w:rPr>
        <w:t>Cognitive</w:t>
      </w:r>
      <w:proofErr w:type="spellEnd"/>
      <w:r w:rsidRPr="00676849">
        <w:rPr>
          <w:rFonts w:eastAsia="Times New Roman"/>
          <w:iCs/>
          <w:kern w:val="0"/>
          <w:lang w:eastAsia="pl-PL"/>
        </w:rPr>
        <w:t xml:space="preserve"> Science, 13</w:t>
      </w:r>
      <w:r w:rsidRPr="00676849">
        <w:rPr>
          <w:rFonts w:eastAsia="Times New Roman"/>
          <w:kern w:val="0"/>
          <w:lang w:eastAsia="pl-PL"/>
        </w:rPr>
        <w:t>.</w:t>
      </w:r>
    </w:p>
    <w:p w:rsidR="00B3075F" w:rsidRPr="00676849" w:rsidRDefault="00B3075F" w:rsidP="00B3075F">
      <w:pPr>
        <w:widowControl/>
        <w:suppressAutoHyphens w:val="0"/>
        <w:spacing w:after="120"/>
        <w:ind w:left="720" w:hanging="720"/>
        <w:jc w:val="left"/>
        <w:rPr>
          <w:rFonts w:eastAsia="Times New Roman"/>
          <w:kern w:val="0"/>
          <w:lang w:eastAsia="pl-PL"/>
        </w:rPr>
      </w:pPr>
      <w:r w:rsidRPr="00676849">
        <w:rPr>
          <w:rFonts w:eastAsia="Times New Roman"/>
          <w:bCs/>
          <w:kern w:val="0"/>
          <w:lang w:eastAsia="pl-PL"/>
        </w:rPr>
        <w:t xml:space="preserve">Czerniawska, E., i </w:t>
      </w:r>
      <w:proofErr w:type="spellStart"/>
      <w:r w:rsidRPr="00676849">
        <w:rPr>
          <w:rFonts w:eastAsia="Times New Roman"/>
          <w:bCs/>
          <w:kern w:val="0"/>
          <w:lang w:eastAsia="pl-PL"/>
        </w:rPr>
        <w:t>Ledzińska</w:t>
      </w:r>
      <w:proofErr w:type="spellEnd"/>
      <w:r w:rsidRPr="00676849">
        <w:rPr>
          <w:rFonts w:eastAsia="Times New Roman"/>
          <w:bCs/>
          <w:kern w:val="0"/>
          <w:lang w:eastAsia="pl-PL"/>
        </w:rPr>
        <w:t xml:space="preserve">, M. (1994). </w:t>
      </w:r>
      <w:r w:rsidRPr="00676849">
        <w:rPr>
          <w:rFonts w:eastAsia="Times New Roman"/>
          <w:bCs/>
          <w:i/>
          <w:kern w:val="0"/>
          <w:lang w:eastAsia="pl-PL"/>
        </w:rPr>
        <w:t>Ja i moja pamięć. O użytecznych strategiach uczenia się</w:t>
      </w:r>
      <w:r w:rsidRPr="00676849">
        <w:rPr>
          <w:rFonts w:eastAsia="Times New Roman"/>
          <w:bCs/>
          <w:kern w:val="0"/>
          <w:lang w:eastAsia="pl-PL"/>
        </w:rPr>
        <w:t xml:space="preserve">. Warszawa: </w:t>
      </w:r>
      <w:proofErr w:type="spellStart"/>
      <w:r w:rsidRPr="00676849">
        <w:rPr>
          <w:rFonts w:eastAsia="Times New Roman"/>
          <w:bCs/>
          <w:kern w:val="0"/>
          <w:lang w:eastAsia="pl-PL"/>
        </w:rPr>
        <w:t>WSiP</w:t>
      </w:r>
      <w:proofErr w:type="spellEnd"/>
      <w:r w:rsidRPr="00676849">
        <w:rPr>
          <w:rFonts w:eastAsia="Times New Roman"/>
          <w:bCs/>
          <w:kern w:val="0"/>
          <w:lang w:eastAsia="pl-PL"/>
        </w:rPr>
        <w:t>.</w:t>
      </w:r>
    </w:p>
    <w:p w:rsidR="00B3075F" w:rsidRPr="00676849" w:rsidRDefault="00B3075F" w:rsidP="00B3075F">
      <w:pPr>
        <w:widowControl/>
        <w:suppressAutoHyphens w:val="0"/>
        <w:spacing w:after="120"/>
        <w:ind w:left="720" w:hanging="720"/>
        <w:jc w:val="left"/>
        <w:rPr>
          <w:rFonts w:eastAsia="Times New Roman"/>
          <w:kern w:val="0"/>
          <w:lang w:eastAsia="pl-PL"/>
        </w:rPr>
      </w:pPr>
      <w:r w:rsidRPr="00676849">
        <w:rPr>
          <w:rFonts w:eastAsia="Times New Roman"/>
          <w:bCs/>
          <w:kern w:val="0"/>
          <w:lang w:eastAsia="pl-PL"/>
        </w:rPr>
        <w:t xml:space="preserve">Czerniawska, E. (1999). </w:t>
      </w:r>
      <w:r w:rsidRPr="00676849">
        <w:rPr>
          <w:rFonts w:eastAsia="Times New Roman"/>
          <w:bCs/>
          <w:i/>
          <w:kern w:val="0"/>
          <w:lang w:eastAsia="pl-PL"/>
        </w:rPr>
        <w:t xml:space="preserve">Dynamika </w:t>
      </w:r>
      <w:proofErr w:type="spellStart"/>
      <w:r w:rsidRPr="00676849">
        <w:rPr>
          <w:rFonts w:eastAsia="Times New Roman"/>
          <w:bCs/>
          <w:i/>
          <w:kern w:val="0"/>
          <w:lang w:eastAsia="pl-PL"/>
        </w:rPr>
        <w:t>zachowań</w:t>
      </w:r>
      <w:proofErr w:type="spellEnd"/>
      <w:r w:rsidRPr="00676849">
        <w:rPr>
          <w:rFonts w:eastAsia="Times New Roman"/>
          <w:bCs/>
          <w:i/>
          <w:kern w:val="0"/>
          <w:lang w:eastAsia="pl-PL"/>
        </w:rPr>
        <w:t xml:space="preserve"> strategicznych</w:t>
      </w:r>
      <w:r w:rsidRPr="00676849">
        <w:rPr>
          <w:rFonts w:eastAsia="Times New Roman"/>
          <w:bCs/>
          <w:kern w:val="0"/>
          <w:lang w:eastAsia="pl-PL"/>
        </w:rPr>
        <w:t xml:space="preserve"> Warszawa: Wydawnictwa Uniwersytetu Warszawskiego.</w:t>
      </w:r>
    </w:p>
    <w:p w:rsidR="00B3075F" w:rsidRPr="00676849" w:rsidRDefault="00B3075F" w:rsidP="00B3075F">
      <w:pPr>
        <w:widowControl/>
        <w:suppressAutoHyphens w:val="0"/>
        <w:spacing w:after="120"/>
        <w:ind w:left="720" w:hanging="720"/>
        <w:jc w:val="left"/>
        <w:rPr>
          <w:rFonts w:eastAsia="Times New Roman"/>
          <w:kern w:val="0"/>
          <w:lang w:eastAsia="pl-PL"/>
        </w:rPr>
      </w:pPr>
      <w:r w:rsidRPr="00676849">
        <w:rPr>
          <w:rFonts w:eastAsia="Times New Roman"/>
          <w:bCs/>
          <w:kern w:val="0"/>
          <w:lang w:eastAsia="pl-PL"/>
        </w:rPr>
        <w:t xml:space="preserve">Czerniawska, E. (2000). </w:t>
      </w:r>
      <w:r w:rsidRPr="00676849">
        <w:rPr>
          <w:rFonts w:eastAsia="Times New Roman"/>
          <w:bCs/>
          <w:i/>
          <w:kern w:val="0"/>
          <w:lang w:eastAsia="pl-PL"/>
        </w:rPr>
        <w:t>Zależność-niezależność od pola a osiągnięcia szkolne</w:t>
      </w:r>
      <w:r w:rsidRPr="00676849">
        <w:rPr>
          <w:rFonts w:eastAsia="Times New Roman"/>
          <w:bCs/>
          <w:kern w:val="0"/>
          <w:lang w:eastAsia="pl-PL"/>
        </w:rPr>
        <w:t>. Nowiny Psychologiczne</w:t>
      </w:r>
    </w:p>
    <w:p w:rsidR="00B3075F" w:rsidRPr="00676849" w:rsidRDefault="00B3075F" w:rsidP="00B3075F">
      <w:pPr>
        <w:spacing w:after="120"/>
        <w:ind w:left="720" w:hanging="720"/>
        <w:jc w:val="left"/>
      </w:pPr>
      <w:proofErr w:type="spellStart"/>
      <w:r w:rsidRPr="00676849">
        <w:t>Dembo</w:t>
      </w:r>
      <w:proofErr w:type="spellEnd"/>
      <w:r w:rsidRPr="00676849">
        <w:t xml:space="preserve"> M. H. (1997). </w:t>
      </w:r>
      <w:r w:rsidRPr="00676849">
        <w:rPr>
          <w:i/>
        </w:rPr>
        <w:t>Stosowana psychologia wychowawcza</w:t>
      </w:r>
      <w:r w:rsidRPr="00676849">
        <w:t xml:space="preserve">. </w:t>
      </w:r>
      <w:proofErr w:type="spellStart"/>
      <w:r w:rsidRPr="00676849">
        <w:t>WSiP</w:t>
      </w:r>
      <w:proofErr w:type="spellEnd"/>
      <w:r w:rsidRPr="00676849">
        <w:t xml:space="preserve">, Warszawa. </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Dunning, D., Heath, C., </w:t>
      </w:r>
      <w:proofErr w:type="spellStart"/>
      <w:r w:rsidRPr="00676849">
        <w:rPr>
          <w:rFonts w:eastAsia="Times New Roman"/>
          <w:kern w:val="0"/>
          <w:lang w:val="en-US" w:eastAsia="pl-PL"/>
        </w:rPr>
        <w:t>Suls</w:t>
      </w:r>
      <w:proofErr w:type="spellEnd"/>
      <w:r w:rsidRPr="00676849">
        <w:rPr>
          <w:rFonts w:eastAsia="Times New Roman"/>
          <w:kern w:val="0"/>
          <w:lang w:val="en-US" w:eastAsia="pl-PL"/>
        </w:rPr>
        <w:t xml:space="preserve">, J.M. (2004). </w:t>
      </w:r>
      <w:r w:rsidRPr="00676849">
        <w:rPr>
          <w:rFonts w:eastAsia="Times New Roman"/>
          <w:i/>
          <w:kern w:val="0"/>
          <w:lang w:val="en-US" w:eastAsia="pl-PL"/>
        </w:rPr>
        <w:t>Flawed self-assessment: Implications for health</w:t>
      </w:r>
      <w:proofErr w:type="gramStart"/>
      <w:r w:rsidRPr="00676849">
        <w:rPr>
          <w:rFonts w:eastAsia="Times New Roman"/>
          <w:i/>
          <w:kern w:val="0"/>
          <w:lang w:val="en-US" w:eastAsia="pl-PL"/>
        </w:rPr>
        <w:t>,  education</w:t>
      </w:r>
      <w:proofErr w:type="gramEnd"/>
      <w:r w:rsidRPr="00676849">
        <w:rPr>
          <w:rFonts w:eastAsia="Times New Roman"/>
          <w:i/>
          <w:kern w:val="0"/>
          <w:lang w:val="en-US" w:eastAsia="pl-PL"/>
        </w:rPr>
        <w:t xml:space="preserve"> and the workplace</w:t>
      </w:r>
      <w:r w:rsidRPr="00676849">
        <w:rPr>
          <w:rFonts w:eastAsia="Times New Roman"/>
          <w:kern w:val="0"/>
          <w:lang w:val="en-US" w:eastAsia="pl-PL"/>
        </w:rPr>
        <w:t xml:space="preserve">. </w:t>
      </w:r>
      <w:proofErr w:type="gramStart"/>
      <w:r w:rsidRPr="00676849">
        <w:rPr>
          <w:rFonts w:eastAsia="Times New Roman"/>
          <w:iCs/>
          <w:kern w:val="0"/>
          <w:lang w:val="en-US" w:eastAsia="pl-PL"/>
        </w:rPr>
        <w:t>Psychological Science in the Public Interest, 5</w:t>
      </w:r>
      <w:r w:rsidRPr="00676849">
        <w:rPr>
          <w:rFonts w:eastAsia="Times New Roman"/>
          <w:kern w:val="0"/>
          <w:lang w:val="en-US" w:eastAsia="pl-PL"/>
        </w:rPr>
        <w:t>.</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Dunning, D., Johnson, K., </w:t>
      </w:r>
      <w:proofErr w:type="spellStart"/>
      <w:r w:rsidRPr="00676849">
        <w:rPr>
          <w:rFonts w:eastAsia="Times New Roman"/>
          <w:kern w:val="0"/>
          <w:lang w:val="en-US" w:eastAsia="pl-PL"/>
        </w:rPr>
        <w:t>Ehrlinger</w:t>
      </w:r>
      <w:proofErr w:type="spellEnd"/>
      <w:r w:rsidRPr="00676849">
        <w:rPr>
          <w:rFonts w:eastAsia="Times New Roman"/>
          <w:kern w:val="0"/>
          <w:lang w:val="en-US" w:eastAsia="pl-PL"/>
        </w:rPr>
        <w:t xml:space="preserve">, J., Kruger, J. (2003). </w:t>
      </w:r>
      <w:r w:rsidRPr="00676849">
        <w:rPr>
          <w:rFonts w:eastAsia="Times New Roman"/>
          <w:i/>
          <w:kern w:val="0"/>
          <w:lang w:val="en-US" w:eastAsia="pl-PL"/>
        </w:rPr>
        <w:t xml:space="preserve">Why people fail to recognize </w:t>
      </w:r>
      <w:proofErr w:type="gramStart"/>
      <w:r w:rsidRPr="00676849">
        <w:rPr>
          <w:rFonts w:eastAsia="Times New Roman"/>
          <w:i/>
          <w:kern w:val="0"/>
          <w:lang w:val="en-US" w:eastAsia="pl-PL"/>
        </w:rPr>
        <w:t>their  own</w:t>
      </w:r>
      <w:proofErr w:type="gramEnd"/>
      <w:r w:rsidRPr="00676849">
        <w:rPr>
          <w:rFonts w:eastAsia="Times New Roman"/>
          <w:i/>
          <w:kern w:val="0"/>
          <w:lang w:val="en-US" w:eastAsia="pl-PL"/>
        </w:rPr>
        <w:t xml:space="preserve"> incompetence</w:t>
      </w:r>
      <w:r w:rsidRPr="00676849">
        <w:rPr>
          <w:rFonts w:eastAsia="Times New Roman"/>
          <w:kern w:val="0"/>
          <w:lang w:val="en-US" w:eastAsia="pl-PL"/>
        </w:rPr>
        <w:t xml:space="preserve">. </w:t>
      </w:r>
      <w:proofErr w:type="gramStart"/>
      <w:r w:rsidRPr="00676849">
        <w:rPr>
          <w:rFonts w:eastAsia="Times New Roman"/>
          <w:iCs/>
          <w:kern w:val="0"/>
          <w:lang w:val="en-US" w:eastAsia="pl-PL"/>
        </w:rPr>
        <w:t>Current Directions in Psychological Science, 12</w:t>
      </w:r>
      <w:r w:rsidRPr="00676849">
        <w:rPr>
          <w:rFonts w:eastAsia="Times New Roman"/>
          <w:kern w:val="0"/>
          <w:lang w:val="en-US" w:eastAsia="pl-PL"/>
        </w:rPr>
        <w:t>.</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Efklides</w:t>
      </w:r>
      <w:proofErr w:type="spellEnd"/>
      <w:r w:rsidRPr="00676849">
        <w:rPr>
          <w:rFonts w:eastAsia="Times New Roman"/>
          <w:kern w:val="0"/>
          <w:lang w:val="en-US" w:eastAsia="pl-PL"/>
        </w:rPr>
        <w:t xml:space="preserve">, A. (2008). Metacognition: </w:t>
      </w:r>
      <w:r w:rsidRPr="00676849">
        <w:rPr>
          <w:rFonts w:eastAsia="Times New Roman"/>
          <w:i/>
          <w:kern w:val="0"/>
          <w:lang w:val="en-US" w:eastAsia="pl-PL"/>
        </w:rPr>
        <w:t>Defining its facets and levels of functioning in relation to self-regulation and co-regulation</w:t>
      </w:r>
      <w:r w:rsidRPr="00676849">
        <w:rPr>
          <w:rFonts w:eastAsia="Times New Roman"/>
          <w:kern w:val="0"/>
          <w:lang w:val="en-US" w:eastAsia="pl-PL"/>
        </w:rPr>
        <w:t xml:space="preserve">. </w:t>
      </w:r>
      <w:proofErr w:type="gramStart"/>
      <w:r w:rsidRPr="00676849">
        <w:rPr>
          <w:rFonts w:eastAsia="Times New Roman"/>
          <w:iCs/>
          <w:kern w:val="0"/>
          <w:lang w:val="en-US" w:eastAsia="pl-PL"/>
        </w:rPr>
        <w:t>European Psychologist, 13</w:t>
      </w:r>
      <w:r w:rsidRPr="00676849">
        <w:rPr>
          <w:rFonts w:eastAsia="Times New Roman"/>
          <w:i/>
          <w:iCs/>
          <w:kern w:val="0"/>
          <w:lang w:val="en-US" w:eastAsia="pl-PL"/>
        </w:rPr>
        <w:t>.</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gramStart"/>
      <w:r w:rsidRPr="00676849">
        <w:rPr>
          <w:rFonts w:eastAsia="Times New Roman"/>
          <w:kern w:val="0"/>
          <w:lang w:val="en-US" w:eastAsia="pl-PL"/>
        </w:rPr>
        <w:t>Ellis, A. K. (2001/2010).</w:t>
      </w:r>
      <w:proofErr w:type="gramEnd"/>
      <w:r w:rsidRPr="00676849">
        <w:rPr>
          <w:rFonts w:eastAsia="Times New Roman"/>
          <w:kern w:val="0"/>
          <w:lang w:val="en-US" w:eastAsia="pl-PL"/>
        </w:rPr>
        <w:t xml:space="preserve"> </w:t>
      </w:r>
      <w:r w:rsidRPr="00676849">
        <w:rPr>
          <w:rFonts w:eastAsia="Times New Roman"/>
          <w:i/>
          <w:iCs/>
          <w:kern w:val="0"/>
          <w:lang w:val="en-US" w:eastAsia="pl-PL"/>
        </w:rPr>
        <w:t>Teaching, learning, and assessment together: The reflective classroom</w:t>
      </w:r>
      <w:r w:rsidRPr="00676849">
        <w:rPr>
          <w:rFonts w:eastAsia="Times New Roman"/>
          <w:kern w:val="0"/>
          <w:lang w:val="en-US" w:eastAsia="pl-PL"/>
        </w:rPr>
        <w:t>. New York: Eye on Education.</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Ericsson, K. Simon, H. A. (1980). </w:t>
      </w:r>
      <w:proofErr w:type="gramStart"/>
      <w:r w:rsidRPr="00676849">
        <w:rPr>
          <w:rFonts w:eastAsia="Times New Roman"/>
          <w:i/>
          <w:kern w:val="0"/>
          <w:lang w:val="en-US" w:eastAsia="pl-PL"/>
        </w:rPr>
        <w:t>Verbal reports as data</w:t>
      </w:r>
      <w:r w:rsidRPr="00676849">
        <w:rPr>
          <w:rFonts w:eastAsia="Times New Roman"/>
          <w:kern w:val="0"/>
          <w:lang w:val="en-US" w:eastAsia="pl-PL"/>
        </w:rPr>
        <w:t>.</w:t>
      </w:r>
      <w:proofErr w:type="gramEnd"/>
      <w:r w:rsidRPr="00676849">
        <w:rPr>
          <w:rFonts w:eastAsia="Times New Roman"/>
          <w:kern w:val="0"/>
          <w:lang w:val="en-US" w:eastAsia="pl-PL"/>
        </w:rPr>
        <w:t xml:space="preserve"> </w:t>
      </w:r>
      <w:proofErr w:type="gramStart"/>
      <w:r w:rsidRPr="00676849">
        <w:rPr>
          <w:rFonts w:eastAsia="Times New Roman"/>
          <w:kern w:val="0"/>
          <w:lang w:val="en-US" w:eastAsia="pl-PL"/>
        </w:rPr>
        <w:t>Psychological Review, 87.</w:t>
      </w:r>
      <w:proofErr w:type="gramEnd"/>
    </w:p>
    <w:p w:rsidR="00B3075F" w:rsidRPr="00676849" w:rsidRDefault="00B3075F" w:rsidP="00B3075F">
      <w:pPr>
        <w:spacing w:after="120"/>
        <w:ind w:left="720" w:hanging="720"/>
        <w:jc w:val="left"/>
        <w:rPr>
          <w:lang w:val="en-US"/>
        </w:rPr>
      </w:pPr>
      <w:proofErr w:type="spellStart"/>
      <w:r w:rsidRPr="00676849">
        <w:rPr>
          <w:lang w:val="en-US"/>
        </w:rPr>
        <w:t>Flavell</w:t>
      </w:r>
      <w:proofErr w:type="spellEnd"/>
      <w:r w:rsidRPr="00676849">
        <w:rPr>
          <w:lang w:val="en-US"/>
        </w:rPr>
        <w:t xml:space="preserve">, J. H. (1976). </w:t>
      </w:r>
      <w:proofErr w:type="gramStart"/>
      <w:r w:rsidRPr="00676849">
        <w:rPr>
          <w:i/>
          <w:lang w:val="en-US"/>
        </w:rPr>
        <w:t>Metacognitive aspects of problem solving</w:t>
      </w:r>
      <w:r w:rsidRPr="00676849">
        <w:rPr>
          <w:lang w:val="en-US"/>
        </w:rPr>
        <w:t>.</w:t>
      </w:r>
      <w:proofErr w:type="gramEnd"/>
      <w:r w:rsidRPr="00676849">
        <w:rPr>
          <w:lang w:val="en-US"/>
        </w:rPr>
        <w:t xml:space="preserve"> W: L. B. </w:t>
      </w:r>
      <w:proofErr w:type="spellStart"/>
      <w:r w:rsidRPr="00676849">
        <w:rPr>
          <w:lang w:val="en-US"/>
        </w:rPr>
        <w:t>Resnick</w:t>
      </w:r>
      <w:proofErr w:type="spellEnd"/>
      <w:r w:rsidRPr="00676849">
        <w:rPr>
          <w:lang w:val="en-US"/>
        </w:rPr>
        <w:t xml:space="preserve"> (red.), </w:t>
      </w:r>
      <w:r w:rsidRPr="00676849">
        <w:rPr>
          <w:i/>
          <w:lang w:val="en-US"/>
        </w:rPr>
        <w:t>The nature of intelligence</w:t>
      </w:r>
      <w:r w:rsidRPr="00676849">
        <w:rPr>
          <w:lang w:val="en-US"/>
        </w:rPr>
        <w:t xml:space="preserve"> (str.231-236). Hillsdale, NJ: Erlbaum </w:t>
      </w:r>
    </w:p>
    <w:p w:rsidR="00B3075F" w:rsidRPr="00676849" w:rsidRDefault="00B3075F" w:rsidP="00B3075F">
      <w:pPr>
        <w:spacing w:after="120"/>
        <w:ind w:left="720" w:hanging="720"/>
        <w:jc w:val="left"/>
        <w:rPr>
          <w:lang w:val="en-US"/>
        </w:rPr>
      </w:pPr>
      <w:proofErr w:type="spellStart"/>
      <w:r w:rsidRPr="00676849">
        <w:rPr>
          <w:lang w:val="en-US"/>
        </w:rPr>
        <w:t>Flavell</w:t>
      </w:r>
      <w:proofErr w:type="spellEnd"/>
      <w:r w:rsidRPr="00676849">
        <w:rPr>
          <w:lang w:val="en-US"/>
        </w:rPr>
        <w:t xml:space="preserve">, J. H. (1979). </w:t>
      </w:r>
      <w:r w:rsidRPr="00676849">
        <w:rPr>
          <w:i/>
          <w:lang w:val="en-US"/>
        </w:rPr>
        <w:t>Metacognition and cognitive monitoring: A new area of cognitive-developmental inquiry.</w:t>
      </w:r>
      <w:r w:rsidRPr="00676849">
        <w:rPr>
          <w:lang w:val="en-US"/>
        </w:rPr>
        <w:t xml:space="preserve"> </w:t>
      </w:r>
      <w:proofErr w:type="gramStart"/>
      <w:r w:rsidRPr="00676849">
        <w:rPr>
          <w:lang w:val="en-US"/>
        </w:rPr>
        <w:t>American Psychologist, 34.</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Garner, R. Alexander, P. (1989).</w:t>
      </w:r>
      <w:r w:rsidRPr="00676849">
        <w:rPr>
          <w:rFonts w:eastAsia="Times New Roman"/>
          <w:i/>
          <w:kern w:val="0"/>
          <w:lang w:val="en-US" w:eastAsia="pl-PL"/>
        </w:rPr>
        <w:t xml:space="preserve"> Metacognition: Answered and unanswered questions. </w:t>
      </w:r>
      <w:proofErr w:type="gramStart"/>
      <w:r w:rsidRPr="00676849">
        <w:rPr>
          <w:rFonts w:eastAsia="Times New Roman"/>
          <w:iCs/>
          <w:kern w:val="0"/>
          <w:lang w:val="en-US" w:eastAsia="pl-PL"/>
        </w:rPr>
        <w:t>Educational Psychologist</w:t>
      </w:r>
      <w:r w:rsidRPr="00676849">
        <w:rPr>
          <w:rFonts w:eastAsia="Times New Roman"/>
          <w:i/>
          <w:iCs/>
          <w:kern w:val="0"/>
          <w:lang w:val="en-US" w:eastAsia="pl-PL"/>
        </w:rPr>
        <w:t xml:space="preserve"> </w:t>
      </w:r>
      <w:r w:rsidRPr="00676849">
        <w:rPr>
          <w:rFonts w:eastAsia="Times New Roman"/>
          <w:kern w:val="0"/>
          <w:lang w:val="en-US" w:eastAsia="pl-PL"/>
        </w:rPr>
        <w:t>24.</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Garner, R. Alexander, P. (1989). </w:t>
      </w:r>
      <w:r w:rsidRPr="00676849">
        <w:rPr>
          <w:rFonts w:eastAsia="Times New Roman"/>
          <w:i/>
          <w:kern w:val="0"/>
          <w:lang w:val="en-US" w:eastAsia="pl-PL"/>
        </w:rPr>
        <w:t>Metacognition: Answered and unanswered questions.</w:t>
      </w:r>
      <w:r w:rsidRPr="00676849">
        <w:rPr>
          <w:rFonts w:eastAsia="Times New Roman"/>
          <w:kern w:val="0"/>
          <w:lang w:val="en-US" w:eastAsia="pl-PL"/>
        </w:rPr>
        <w:t xml:space="preserve"> </w:t>
      </w:r>
      <w:proofErr w:type="gramStart"/>
      <w:r w:rsidRPr="00676849">
        <w:rPr>
          <w:rFonts w:eastAsia="Times New Roman"/>
          <w:iCs/>
          <w:kern w:val="0"/>
          <w:lang w:val="en-US" w:eastAsia="pl-PL"/>
        </w:rPr>
        <w:t>Educational Psychologist</w:t>
      </w:r>
      <w:r w:rsidRPr="00676849">
        <w:rPr>
          <w:rFonts w:eastAsia="Times New Roman"/>
          <w:i/>
          <w:iCs/>
          <w:kern w:val="0"/>
          <w:lang w:val="en-US" w:eastAsia="pl-PL"/>
        </w:rPr>
        <w:t xml:space="preserve"> </w:t>
      </w:r>
      <w:r w:rsidRPr="00676849">
        <w:rPr>
          <w:rFonts w:eastAsia="Times New Roman"/>
          <w:kern w:val="0"/>
          <w:lang w:val="en-US" w:eastAsia="pl-PL"/>
        </w:rPr>
        <w:t>24.</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gramStart"/>
      <w:r w:rsidRPr="00676849">
        <w:rPr>
          <w:rFonts w:eastAsia="Times New Roman"/>
          <w:kern w:val="0"/>
          <w:lang w:val="en-US" w:eastAsia="pl-PL"/>
        </w:rPr>
        <w:t>Hacker, D. J. (1998).</w:t>
      </w:r>
      <w:proofErr w:type="gramEnd"/>
      <w:r w:rsidRPr="00676849">
        <w:rPr>
          <w:rFonts w:eastAsia="Times New Roman"/>
          <w:kern w:val="0"/>
          <w:lang w:val="en-US" w:eastAsia="pl-PL"/>
        </w:rPr>
        <w:t xml:space="preserve"> </w:t>
      </w:r>
      <w:proofErr w:type="gramStart"/>
      <w:r w:rsidRPr="00676849">
        <w:rPr>
          <w:rFonts w:eastAsia="Times New Roman"/>
          <w:i/>
          <w:iCs/>
          <w:kern w:val="0"/>
          <w:lang w:val="en-US" w:eastAsia="pl-PL"/>
        </w:rPr>
        <w:t>Definitions and empirical foundation</w:t>
      </w:r>
      <w:r w:rsidRPr="00676849">
        <w:rPr>
          <w:rFonts w:eastAsia="Times New Roman"/>
          <w:kern w:val="0"/>
          <w:lang w:val="en-US" w:eastAsia="pl-PL"/>
        </w:rPr>
        <w:t>.</w:t>
      </w:r>
      <w:proofErr w:type="gramEnd"/>
      <w:r w:rsidRPr="00676849">
        <w:rPr>
          <w:rFonts w:eastAsia="Times New Roman"/>
          <w:kern w:val="0"/>
          <w:lang w:val="en-US" w:eastAsia="pl-PL"/>
        </w:rPr>
        <w:t xml:space="preserve"> W: D. Hacker; J. </w:t>
      </w:r>
      <w:proofErr w:type="spellStart"/>
      <w:r w:rsidRPr="00676849">
        <w:rPr>
          <w:rFonts w:eastAsia="Times New Roman"/>
          <w:kern w:val="0"/>
          <w:lang w:val="en-US" w:eastAsia="pl-PL"/>
        </w:rPr>
        <w:t>Dunlosky</w:t>
      </w:r>
      <w:proofErr w:type="spellEnd"/>
      <w:r w:rsidRPr="00676849">
        <w:rPr>
          <w:rFonts w:eastAsia="Times New Roman"/>
          <w:kern w:val="0"/>
          <w:lang w:val="en-US" w:eastAsia="pl-PL"/>
        </w:rPr>
        <w:t xml:space="preserve">; A. </w:t>
      </w:r>
      <w:proofErr w:type="spellStart"/>
      <w:r w:rsidRPr="00676849">
        <w:rPr>
          <w:rFonts w:eastAsia="Times New Roman"/>
          <w:kern w:val="0"/>
          <w:lang w:val="en-US" w:eastAsia="pl-PL"/>
        </w:rPr>
        <w:t>Graesser</w:t>
      </w:r>
      <w:proofErr w:type="spellEnd"/>
      <w:r w:rsidRPr="00676849">
        <w:rPr>
          <w:rFonts w:eastAsia="Times New Roman"/>
          <w:kern w:val="0"/>
          <w:lang w:val="en-US" w:eastAsia="pl-PL"/>
        </w:rPr>
        <w:t xml:space="preserve"> (red.). </w:t>
      </w:r>
      <w:proofErr w:type="gramStart"/>
      <w:r w:rsidRPr="00676849">
        <w:rPr>
          <w:rFonts w:eastAsia="Times New Roman"/>
          <w:i/>
          <w:kern w:val="0"/>
          <w:lang w:val="en-US" w:eastAsia="pl-PL"/>
        </w:rPr>
        <w:t>Metacognition in Educational Theory and Practice.</w:t>
      </w:r>
      <w:proofErr w:type="gramEnd"/>
      <w:r w:rsidRPr="00676849">
        <w:rPr>
          <w:rFonts w:eastAsia="Times New Roman"/>
          <w:kern w:val="0"/>
          <w:lang w:val="en-US" w:eastAsia="pl-PL"/>
        </w:rPr>
        <w:t xml:space="preserve"> Mahwah, NY: Erlbaum.</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Hartman, H. E. (2001). </w:t>
      </w:r>
      <w:r w:rsidRPr="00676849">
        <w:rPr>
          <w:rFonts w:eastAsia="Times New Roman"/>
          <w:i/>
          <w:iCs/>
          <w:kern w:val="0"/>
          <w:lang w:val="en-US" w:eastAsia="pl-PL"/>
        </w:rPr>
        <w:t xml:space="preserve">Metacognition in learning and instruction: Theory, research and practice. </w:t>
      </w:r>
      <w:r w:rsidRPr="00676849">
        <w:rPr>
          <w:rFonts w:eastAsia="Times New Roman"/>
          <w:kern w:val="0"/>
          <w:lang w:val="en-US" w:eastAsia="pl-PL"/>
        </w:rPr>
        <w:t>Netherland: Kluwer Academic</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gramStart"/>
      <w:r w:rsidRPr="00676849">
        <w:rPr>
          <w:rFonts w:eastAsia="Times New Roman"/>
          <w:kern w:val="0"/>
          <w:lang w:val="en-US" w:eastAsia="pl-PL"/>
        </w:rPr>
        <w:t>Herrmann ,</w:t>
      </w:r>
      <w:proofErr w:type="gramEnd"/>
      <w:r w:rsidRPr="00676849">
        <w:rPr>
          <w:rFonts w:eastAsia="Times New Roman"/>
          <w:kern w:val="0"/>
          <w:lang w:val="en-US" w:eastAsia="pl-PL"/>
        </w:rPr>
        <w:t xml:space="preserve"> D. J. (1982). Know thy memory: </w:t>
      </w:r>
      <w:r w:rsidRPr="00676849">
        <w:rPr>
          <w:rFonts w:eastAsia="Times New Roman"/>
          <w:i/>
          <w:kern w:val="0"/>
          <w:lang w:val="en-US" w:eastAsia="pl-PL"/>
        </w:rPr>
        <w:t>The use of questionnaires to assess and study memory</w:t>
      </w:r>
      <w:r w:rsidRPr="00676849">
        <w:rPr>
          <w:rFonts w:eastAsia="Times New Roman"/>
          <w:kern w:val="0"/>
          <w:lang w:val="en-US" w:eastAsia="pl-PL"/>
        </w:rPr>
        <w:t xml:space="preserve">. </w:t>
      </w:r>
      <w:proofErr w:type="gramStart"/>
      <w:r w:rsidRPr="00676849">
        <w:rPr>
          <w:rFonts w:eastAsia="Times New Roman"/>
          <w:iCs/>
          <w:kern w:val="0"/>
          <w:lang w:val="en-US" w:eastAsia="pl-PL"/>
        </w:rPr>
        <w:t>Psychological Bulletin, 92.</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Howard, B.C., McGee, S., Shia, R., Hong, N.S. (2000). </w:t>
      </w:r>
      <w:r w:rsidRPr="00676849">
        <w:rPr>
          <w:rFonts w:eastAsia="Times New Roman"/>
          <w:i/>
          <w:kern w:val="0"/>
          <w:lang w:val="en-US" w:eastAsia="pl-PL"/>
        </w:rPr>
        <w:t xml:space="preserve">Metacognitive </w:t>
      </w:r>
      <w:proofErr w:type="spellStart"/>
      <w:r w:rsidRPr="00676849">
        <w:rPr>
          <w:rFonts w:eastAsia="Times New Roman"/>
          <w:i/>
          <w:kern w:val="0"/>
          <w:lang w:val="en-US" w:eastAsia="pl-PL"/>
        </w:rPr>
        <w:t>selfregulation</w:t>
      </w:r>
      <w:proofErr w:type="spellEnd"/>
      <w:r w:rsidRPr="00676849">
        <w:rPr>
          <w:rFonts w:eastAsia="Times New Roman"/>
          <w:i/>
          <w:kern w:val="0"/>
          <w:lang w:val="en-US" w:eastAsia="pl-PL"/>
        </w:rPr>
        <w:t xml:space="preserve"> and </w:t>
      </w:r>
      <w:proofErr w:type="gramStart"/>
      <w:r w:rsidRPr="00676849">
        <w:rPr>
          <w:rFonts w:eastAsia="Times New Roman"/>
          <w:i/>
          <w:kern w:val="0"/>
          <w:lang w:val="en-US" w:eastAsia="pl-PL"/>
        </w:rPr>
        <w:t>problem-solving</w:t>
      </w:r>
      <w:proofErr w:type="gramEnd"/>
      <w:r w:rsidRPr="00676849">
        <w:rPr>
          <w:rFonts w:eastAsia="Times New Roman"/>
          <w:i/>
          <w:kern w:val="0"/>
          <w:lang w:val="en-US" w:eastAsia="pl-PL"/>
        </w:rPr>
        <w:t>: Expanding the theory base through factor analysis.</w:t>
      </w:r>
      <w:r w:rsidRPr="00676849">
        <w:rPr>
          <w:rFonts w:eastAsia="Times New Roman"/>
          <w:kern w:val="0"/>
          <w:lang w:val="en-US" w:eastAsia="pl-PL"/>
        </w:rPr>
        <w:t xml:space="preserve"> </w:t>
      </w:r>
      <w:r w:rsidRPr="00676849">
        <w:rPr>
          <w:rFonts w:eastAsia="Times New Roman"/>
          <w:iCs/>
          <w:kern w:val="0"/>
          <w:lang w:val="en-US" w:eastAsia="pl-PL"/>
        </w:rPr>
        <w:t>Proceedings of the annual meeting of the American Educational Research Association,</w:t>
      </w:r>
      <w:r w:rsidRPr="00676849">
        <w:rPr>
          <w:rFonts w:eastAsia="Times New Roman"/>
          <w:i/>
          <w:iCs/>
          <w:kern w:val="0"/>
          <w:lang w:val="en-US" w:eastAsia="pl-PL"/>
        </w:rPr>
        <w:t xml:space="preserve"> </w:t>
      </w:r>
      <w:r w:rsidRPr="00676849">
        <w:rPr>
          <w:rFonts w:eastAsia="Times New Roman"/>
          <w:kern w:val="0"/>
          <w:lang w:val="en-US" w:eastAsia="pl-PL"/>
        </w:rPr>
        <w:t>New Orleans, LA</w:t>
      </w:r>
      <w:proofErr w:type="gramStart"/>
      <w:r w:rsidRPr="00676849">
        <w:rPr>
          <w:rFonts w:eastAsia="Times New Roman"/>
          <w:kern w:val="0"/>
          <w:lang w:val="en-US" w:eastAsia="pl-PL"/>
        </w:rPr>
        <w:t>.,</w:t>
      </w:r>
      <w:proofErr w:type="gramEnd"/>
      <w:r w:rsidRPr="00676849">
        <w:rPr>
          <w:rFonts w:eastAsia="Times New Roman"/>
          <w:kern w:val="0"/>
          <w:lang w:val="en-US" w:eastAsia="pl-PL"/>
        </w:rPr>
        <w:t xml:space="preserve"> April 2000</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eastAsia="pl-PL"/>
        </w:rPr>
        <w:t>Jedge</w:t>
      </w:r>
      <w:proofErr w:type="spellEnd"/>
      <w:r w:rsidRPr="00676849">
        <w:rPr>
          <w:rFonts w:eastAsia="Times New Roman"/>
          <w:kern w:val="0"/>
          <w:lang w:eastAsia="pl-PL"/>
        </w:rPr>
        <w:t xml:space="preserve">. O. J. </w:t>
      </w:r>
      <w:proofErr w:type="spellStart"/>
      <w:r w:rsidRPr="00676849">
        <w:rPr>
          <w:rFonts w:eastAsia="Times New Roman"/>
          <w:kern w:val="0"/>
          <w:lang w:eastAsia="pl-PL"/>
        </w:rPr>
        <w:t>Alaiyemla</w:t>
      </w:r>
      <w:proofErr w:type="spellEnd"/>
      <w:r w:rsidRPr="00676849">
        <w:rPr>
          <w:rFonts w:eastAsia="Times New Roman"/>
          <w:kern w:val="0"/>
          <w:lang w:eastAsia="pl-PL"/>
        </w:rPr>
        <w:t xml:space="preserve">, F. F., </w:t>
      </w:r>
      <w:proofErr w:type="spellStart"/>
      <w:r w:rsidRPr="00676849">
        <w:rPr>
          <w:rFonts w:eastAsia="Times New Roman"/>
          <w:kern w:val="0"/>
          <w:lang w:eastAsia="pl-PL"/>
        </w:rPr>
        <w:t>Okebukola</w:t>
      </w:r>
      <w:proofErr w:type="spellEnd"/>
      <w:r w:rsidRPr="00676849">
        <w:rPr>
          <w:rFonts w:eastAsia="Times New Roman"/>
          <w:kern w:val="0"/>
          <w:lang w:eastAsia="pl-PL"/>
        </w:rPr>
        <w:t xml:space="preserve">, P. A. (1990). </w:t>
      </w:r>
      <w:proofErr w:type="gramStart"/>
      <w:r w:rsidRPr="00676849">
        <w:rPr>
          <w:rFonts w:eastAsia="Times New Roman"/>
          <w:i/>
          <w:kern w:val="0"/>
          <w:lang w:val="en-US" w:eastAsia="pl-PL"/>
        </w:rPr>
        <w:t>The effect of concept mapping on students’ anxiety and achievement in biology</w:t>
      </w:r>
      <w:r w:rsidRPr="00676849">
        <w:rPr>
          <w:rFonts w:eastAsia="Times New Roman"/>
          <w:kern w:val="0"/>
          <w:lang w:val="en-US" w:eastAsia="pl-PL"/>
        </w:rPr>
        <w:t>.</w:t>
      </w:r>
      <w:proofErr w:type="gramEnd"/>
      <w:r w:rsidRPr="00676849">
        <w:rPr>
          <w:rFonts w:eastAsia="Times New Roman"/>
          <w:kern w:val="0"/>
          <w:lang w:val="en-US" w:eastAsia="pl-PL"/>
        </w:rPr>
        <w:t xml:space="preserve"> </w:t>
      </w:r>
      <w:proofErr w:type="gramStart"/>
      <w:r w:rsidRPr="00676849">
        <w:rPr>
          <w:rFonts w:eastAsia="Times New Roman"/>
          <w:iCs/>
          <w:kern w:val="0"/>
          <w:lang w:val="en-US" w:eastAsia="pl-PL"/>
        </w:rPr>
        <w:t>Journal of Research in Science Teaching</w:t>
      </w:r>
      <w:r w:rsidRPr="00676849">
        <w:rPr>
          <w:rFonts w:eastAsia="Times New Roman"/>
          <w:kern w:val="0"/>
          <w:lang w:val="en-US" w:eastAsia="pl-PL"/>
        </w:rPr>
        <w:t>, 27 (10).</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iCs/>
          <w:kern w:val="0"/>
          <w:lang w:val="en-US" w:eastAsia="pl-PL"/>
        </w:rPr>
        <w:t>John-Steiner, V. (</w:t>
      </w:r>
      <w:r w:rsidRPr="00676849">
        <w:rPr>
          <w:rFonts w:eastAsia="Times New Roman"/>
          <w:kern w:val="0"/>
          <w:lang w:val="en-US" w:eastAsia="pl-PL"/>
        </w:rPr>
        <w:t xml:space="preserve">1992) </w:t>
      </w:r>
      <w:r w:rsidRPr="00676849">
        <w:rPr>
          <w:rFonts w:eastAsia="Times New Roman"/>
          <w:i/>
          <w:kern w:val="0"/>
          <w:lang w:val="en-US" w:eastAsia="pl-PL"/>
        </w:rPr>
        <w:t>Private Speech Among Adults</w:t>
      </w:r>
      <w:r w:rsidRPr="00676849">
        <w:rPr>
          <w:rFonts w:eastAsia="Times New Roman"/>
          <w:kern w:val="0"/>
          <w:lang w:val="en-US" w:eastAsia="pl-PL"/>
        </w:rPr>
        <w:t xml:space="preserve">. </w:t>
      </w:r>
      <w:r w:rsidRPr="00676849">
        <w:rPr>
          <w:rFonts w:eastAsia="Times New Roman"/>
          <w:kern w:val="0"/>
          <w:lang w:eastAsia="pl-PL"/>
        </w:rPr>
        <w:t xml:space="preserve">W: </w:t>
      </w:r>
      <w:proofErr w:type="spellStart"/>
      <w:r w:rsidRPr="00676849">
        <w:rPr>
          <w:rFonts w:eastAsia="Times New Roman"/>
          <w:kern w:val="0"/>
          <w:lang w:eastAsia="pl-PL"/>
        </w:rPr>
        <w:t>Diaz</w:t>
      </w:r>
      <w:proofErr w:type="spellEnd"/>
      <w:r w:rsidRPr="00676849">
        <w:rPr>
          <w:rFonts w:eastAsia="Times New Roman"/>
          <w:kern w:val="0"/>
          <w:lang w:eastAsia="pl-PL"/>
        </w:rPr>
        <w:t xml:space="preserve">, Rafael M., Laura </w:t>
      </w:r>
      <w:proofErr w:type="spellStart"/>
      <w:r w:rsidRPr="00676849">
        <w:rPr>
          <w:rFonts w:eastAsia="Times New Roman"/>
          <w:kern w:val="0"/>
          <w:lang w:eastAsia="pl-PL"/>
        </w:rPr>
        <w:t>Berk</w:t>
      </w:r>
      <w:proofErr w:type="spellEnd"/>
      <w:r w:rsidRPr="00676849">
        <w:rPr>
          <w:rFonts w:eastAsia="Times New Roman"/>
          <w:kern w:val="0"/>
          <w:lang w:eastAsia="pl-PL"/>
        </w:rPr>
        <w:t xml:space="preserve">, (red.) </w:t>
      </w:r>
      <w:r w:rsidRPr="00676849">
        <w:rPr>
          <w:rFonts w:eastAsia="Times New Roman"/>
          <w:i/>
          <w:kern w:val="0"/>
          <w:lang w:val="en-US" w:eastAsia="pl-PL"/>
        </w:rPr>
        <w:t>Special Issue. Private Speech: From Social Interaction to Self-regulation</w:t>
      </w:r>
      <w:r w:rsidRPr="00676849">
        <w:rPr>
          <w:rFonts w:eastAsia="Times New Roman"/>
          <w:kern w:val="0"/>
          <w:lang w:val="en-US" w:eastAsia="pl-PL"/>
        </w:rPr>
        <w:t>. New Jersey: Erlbaum, 285- 296</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proofErr w:type="gramStart"/>
      <w:r w:rsidRPr="00676849">
        <w:rPr>
          <w:rFonts w:eastAsia="Times New Roman"/>
          <w:kern w:val="0"/>
          <w:lang w:val="en-US" w:eastAsia="pl-PL"/>
        </w:rPr>
        <w:t>Jonassen</w:t>
      </w:r>
      <w:proofErr w:type="spellEnd"/>
      <w:r w:rsidRPr="00676849">
        <w:rPr>
          <w:rFonts w:eastAsia="Times New Roman"/>
          <w:kern w:val="0"/>
          <w:lang w:val="en-US" w:eastAsia="pl-PL"/>
        </w:rPr>
        <w:t xml:space="preserve">, D., Mayes, T., </w:t>
      </w:r>
      <w:proofErr w:type="spellStart"/>
      <w:r w:rsidRPr="00676849">
        <w:rPr>
          <w:rFonts w:eastAsia="Times New Roman"/>
          <w:kern w:val="0"/>
          <w:lang w:val="en-US" w:eastAsia="pl-PL"/>
        </w:rPr>
        <w:t>McAleese</w:t>
      </w:r>
      <w:proofErr w:type="spellEnd"/>
      <w:r w:rsidRPr="00676849">
        <w:rPr>
          <w:rFonts w:eastAsia="Times New Roman"/>
          <w:kern w:val="0"/>
          <w:lang w:val="en-US" w:eastAsia="pl-PL"/>
        </w:rPr>
        <w:t>, R. (1993).</w:t>
      </w:r>
      <w:proofErr w:type="gramEnd"/>
      <w:r w:rsidRPr="00676849">
        <w:rPr>
          <w:rFonts w:eastAsia="Times New Roman"/>
          <w:kern w:val="0"/>
          <w:lang w:val="en-US" w:eastAsia="pl-PL"/>
        </w:rPr>
        <w:t xml:space="preserve"> </w:t>
      </w:r>
      <w:proofErr w:type="gramStart"/>
      <w:r w:rsidRPr="00676849">
        <w:rPr>
          <w:rFonts w:eastAsia="Times New Roman"/>
          <w:i/>
          <w:kern w:val="0"/>
          <w:lang w:val="en-US" w:eastAsia="pl-PL"/>
        </w:rPr>
        <w:t>A manifesto for a constructivist approach to uses of technology in higher education.</w:t>
      </w:r>
      <w:proofErr w:type="gramEnd"/>
      <w:r w:rsidRPr="00676849">
        <w:rPr>
          <w:rFonts w:eastAsia="Times New Roman"/>
          <w:kern w:val="0"/>
          <w:lang w:val="en-US" w:eastAsia="pl-PL"/>
        </w:rPr>
        <w:t xml:space="preserve"> W: T. Duffy, J. </w:t>
      </w:r>
      <w:proofErr w:type="spellStart"/>
      <w:r w:rsidRPr="00676849">
        <w:rPr>
          <w:rFonts w:eastAsia="Times New Roman"/>
          <w:kern w:val="0"/>
          <w:lang w:val="en-US" w:eastAsia="pl-PL"/>
        </w:rPr>
        <w:t>Lowyck</w:t>
      </w:r>
      <w:proofErr w:type="spellEnd"/>
      <w:r w:rsidRPr="00676849">
        <w:rPr>
          <w:rFonts w:eastAsia="Times New Roman"/>
          <w:kern w:val="0"/>
          <w:lang w:val="en-US" w:eastAsia="pl-PL"/>
        </w:rPr>
        <w:t xml:space="preserve">, D. </w:t>
      </w:r>
      <w:proofErr w:type="spellStart"/>
      <w:r w:rsidRPr="00676849">
        <w:rPr>
          <w:rFonts w:eastAsia="Times New Roman"/>
          <w:kern w:val="0"/>
          <w:lang w:val="en-US" w:eastAsia="pl-PL"/>
        </w:rPr>
        <w:t>Jonassen</w:t>
      </w:r>
      <w:proofErr w:type="spellEnd"/>
      <w:r w:rsidRPr="00676849">
        <w:rPr>
          <w:rFonts w:eastAsia="Times New Roman"/>
          <w:kern w:val="0"/>
          <w:lang w:val="en-US" w:eastAsia="pl-PL"/>
        </w:rPr>
        <w:t xml:space="preserve"> (red.) </w:t>
      </w:r>
      <w:r w:rsidRPr="00676849">
        <w:rPr>
          <w:rFonts w:eastAsia="Times New Roman"/>
          <w:i/>
          <w:iCs/>
          <w:kern w:val="0"/>
          <w:lang w:val="en-US" w:eastAsia="pl-PL"/>
        </w:rPr>
        <w:t xml:space="preserve">Designing environments for constructive learning </w:t>
      </w:r>
      <w:r w:rsidRPr="00676849">
        <w:rPr>
          <w:rFonts w:eastAsia="Times New Roman"/>
          <w:kern w:val="0"/>
          <w:lang w:val="en-US" w:eastAsia="pl-PL"/>
        </w:rPr>
        <w:t>(str. 231-247). Berlin: Springer-</w:t>
      </w:r>
      <w:proofErr w:type="spellStart"/>
      <w:r w:rsidRPr="00676849">
        <w:rPr>
          <w:rFonts w:eastAsia="Times New Roman"/>
          <w:kern w:val="0"/>
          <w:lang w:val="en-US" w:eastAsia="pl-PL"/>
        </w:rPr>
        <w:t>Verlag</w:t>
      </w:r>
      <w:proofErr w:type="spellEnd"/>
      <w:r w:rsidRPr="00676849">
        <w:rPr>
          <w:rFonts w:eastAsia="Times New Roman"/>
          <w:kern w:val="0"/>
          <w:lang w:val="en-US" w:eastAsia="pl-PL"/>
        </w:rPr>
        <w:t>.</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Koriat</w:t>
      </w:r>
      <w:proofErr w:type="spellEnd"/>
      <w:r w:rsidRPr="00676849">
        <w:rPr>
          <w:rFonts w:eastAsia="Times New Roman"/>
          <w:kern w:val="0"/>
          <w:lang w:val="en-US" w:eastAsia="pl-PL"/>
        </w:rPr>
        <w:t xml:space="preserve">, A. (2007). </w:t>
      </w:r>
      <w:proofErr w:type="gramStart"/>
      <w:r w:rsidRPr="00676849">
        <w:rPr>
          <w:rFonts w:eastAsia="Times New Roman"/>
          <w:i/>
          <w:kern w:val="0"/>
          <w:lang w:val="en-US" w:eastAsia="pl-PL"/>
        </w:rPr>
        <w:t>Metacognition and consciousness.</w:t>
      </w:r>
      <w:proofErr w:type="gramEnd"/>
      <w:r w:rsidRPr="00676849">
        <w:rPr>
          <w:rFonts w:eastAsia="Times New Roman"/>
          <w:kern w:val="0"/>
          <w:lang w:val="en-US" w:eastAsia="pl-PL"/>
        </w:rPr>
        <w:t xml:space="preserve"> W: P. D. </w:t>
      </w:r>
      <w:proofErr w:type="spellStart"/>
      <w:r w:rsidRPr="00676849">
        <w:rPr>
          <w:rFonts w:eastAsia="Times New Roman"/>
          <w:kern w:val="0"/>
          <w:lang w:val="en-US" w:eastAsia="pl-PL"/>
        </w:rPr>
        <w:t>Zelazo</w:t>
      </w:r>
      <w:proofErr w:type="spellEnd"/>
      <w:r w:rsidRPr="00676849">
        <w:rPr>
          <w:rFonts w:eastAsia="Times New Roman"/>
          <w:kern w:val="0"/>
          <w:lang w:val="en-US" w:eastAsia="pl-PL"/>
        </w:rPr>
        <w:t xml:space="preserve">, M. </w:t>
      </w:r>
      <w:proofErr w:type="spellStart"/>
      <w:r w:rsidRPr="00676849">
        <w:rPr>
          <w:rFonts w:eastAsia="Times New Roman"/>
          <w:kern w:val="0"/>
          <w:lang w:val="en-US" w:eastAsia="pl-PL"/>
        </w:rPr>
        <w:t>Moscovitch</w:t>
      </w:r>
      <w:proofErr w:type="spellEnd"/>
      <w:r w:rsidRPr="00676849">
        <w:rPr>
          <w:rFonts w:eastAsia="Times New Roman"/>
          <w:kern w:val="0"/>
          <w:lang w:val="en-US" w:eastAsia="pl-PL"/>
        </w:rPr>
        <w:t xml:space="preserve">, E. Thompson (red.), </w:t>
      </w:r>
      <w:r w:rsidRPr="00676849">
        <w:rPr>
          <w:rFonts w:eastAsia="Times New Roman"/>
          <w:i/>
          <w:iCs/>
          <w:kern w:val="0"/>
          <w:lang w:val="en-US" w:eastAsia="pl-PL"/>
        </w:rPr>
        <w:t xml:space="preserve">The Cambridge handbook of consciousness </w:t>
      </w:r>
      <w:r w:rsidRPr="00676849">
        <w:rPr>
          <w:rFonts w:eastAsia="Times New Roman"/>
          <w:kern w:val="0"/>
          <w:lang w:val="en-US" w:eastAsia="pl-PL"/>
        </w:rPr>
        <w:t>(str. 289-325). New York: Cambridge University Press.</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Kruger, J., and Dunning, D. (1999). </w:t>
      </w:r>
      <w:r w:rsidRPr="00676849">
        <w:rPr>
          <w:rFonts w:eastAsia="Times New Roman"/>
          <w:i/>
          <w:kern w:val="0"/>
          <w:lang w:val="en-US" w:eastAsia="pl-PL"/>
        </w:rPr>
        <w:t>Unskilled and unaware of it: How differences in recognizing one’s own incompetence lead to inflated self-assessments</w:t>
      </w:r>
      <w:r w:rsidRPr="00676849">
        <w:rPr>
          <w:rFonts w:eastAsia="Times New Roman"/>
          <w:kern w:val="0"/>
          <w:lang w:val="en-US" w:eastAsia="pl-PL"/>
        </w:rPr>
        <w:t xml:space="preserve">. </w:t>
      </w:r>
      <w:proofErr w:type="gramStart"/>
      <w:r w:rsidRPr="00676849">
        <w:rPr>
          <w:rFonts w:eastAsia="Times New Roman"/>
          <w:iCs/>
          <w:kern w:val="0"/>
          <w:lang w:val="en-US" w:eastAsia="pl-PL"/>
        </w:rPr>
        <w:t xml:space="preserve">Journal of Personality and Social Psychology 77, </w:t>
      </w:r>
      <w:r w:rsidRPr="00676849">
        <w:rPr>
          <w:rFonts w:eastAsia="Times New Roman"/>
          <w:kern w:val="0"/>
          <w:lang w:val="en-US" w:eastAsia="pl-PL"/>
        </w:rPr>
        <w:t>6.</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Kuhn, D. (2000). </w:t>
      </w:r>
      <w:r w:rsidRPr="00676849">
        <w:rPr>
          <w:rFonts w:eastAsia="Times New Roman"/>
          <w:i/>
          <w:kern w:val="0"/>
          <w:lang w:val="en-US" w:eastAsia="pl-PL"/>
        </w:rPr>
        <w:t>Metacognitive development.</w:t>
      </w:r>
      <w:r w:rsidRPr="00676849">
        <w:rPr>
          <w:rFonts w:eastAsia="Times New Roman"/>
          <w:kern w:val="0"/>
          <w:lang w:val="en-US" w:eastAsia="pl-PL"/>
        </w:rPr>
        <w:t xml:space="preserve"> </w:t>
      </w:r>
      <w:proofErr w:type="gramStart"/>
      <w:r w:rsidRPr="00676849">
        <w:rPr>
          <w:rFonts w:eastAsia="Times New Roman"/>
          <w:iCs/>
          <w:kern w:val="0"/>
          <w:lang w:val="en-US" w:eastAsia="pl-PL"/>
        </w:rPr>
        <w:t>Current Directions in Psychological Science, 9</w:t>
      </w:r>
      <w:r w:rsidRPr="00676849">
        <w:rPr>
          <w:rFonts w:eastAsia="Times New Roman"/>
          <w:kern w:val="0"/>
          <w:lang w:val="en-US" w:eastAsia="pl-PL"/>
        </w:rPr>
        <w:t>.</w:t>
      </w:r>
      <w:proofErr w:type="gramEnd"/>
    </w:p>
    <w:p w:rsidR="00B3075F" w:rsidRPr="00676849" w:rsidRDefault="00B3075F" w:rsidP="00B3075F">
      <w:pPr>
        <w:widowControl/>
        <w:suppressAutoHyphens w:val="0"/>
        <w:spacing w:after="120"/>
        <w:ind w:left="720" w:hanging="720"/>
        <w:jc w:val="left"/>
        <w:rPr>
          <w:rFonts w:eastAsia="Times New Roman"/>
          <w:kern w:val="0"/>
          <w:lang w:eastAsia="pl-PL"/>
        </w:rPr>
      </w:pPr>
      <w:proofErr w:type="spellStart"/>
      <w:r w:rsidRPr="00676849">
        <w:rPr>
          <w:rFonts w:eastAsia="Times New Roman"/>
          <w:kern w:val="0"/>
          <w:lang w:eastAsia="pl-PL"/>
        </w:rPr>
        <w:t>Ledzińska</w:t>
      </w:r>
      <w:proofErr w:type="spellEnd"/>
      <w:r w:rsidRPr="00676849">
        <w:rPr>
          <w:rFonts w:eastAsia="Times New Roman"/>
          <w:kern w:val="0"/>
          <w:lang w:eastAsia="pl-PL"/>
        </w:rPr>
        <w:t xml:space="preserve">, M. (1996). </w:t>
      </w:r>
      <w:r w:rsidRPr="00676849">
        <w:rPr>
          <w:rFonts w:eastAsia="Times New Roman"/>
          <w:i/>
          <w:kern w:val="0"/>
          <w:lang w:eastAsia="pl-PL"/>
        </w:rPr>
        <w:t>Przetwarzanie informacji przez uczniów o zróżnicowanym poziomie zdolności a ich postępy w szkole</w:t>
      </w:r>
      <w:r w:rsidRPr="00676849">
        <w:rPr>
          <w:rFonts w:eastAsia="Times New Roman"/>
          <w:kern w:val="0"/>
          <w:lang w:eastAsia="pl-PL"/>
        </w:rPr>
        <w:t>. Warszawa: Oficyna Wydawnicza Wydziału Psychologii UW.</w:t>
      </w:r>
    </w:p>
    <w:p w:rsidR="00B3075F" w:rsidRPr="00676849" w:rsidRDefault="00B3075F" w:rsidP="00B3075F">
      <w:pPr>
        <w:widowControl/>
        <w:suppressAutoHyphens w:val="0"/>
        <w:spacing w:after="120"/>
        <w:ind w:left="720" w:hanging="720"/>
        <w:jc w:val="left"/>
        <w:rPr>
          <w:rFonts w:eastAsia="Times New Roman"/>
          <w:kern w:val="0"/>
          <w:lang w:eastAsia="pl-PL"/>
        </w:rPr>
      </w:pPr>
      <w:proofErr w:type="spellStart"/>
      <w:r w:rsidRPr="00676849">
        <w:rPr>
          <w:rFonts w:eastAsia="Times New Roman"/>
          <w:kern w:val="0"/>
          <w:lang w:eastAsia="pl-PL"/>
        </w:rPr>
        <w:t>Ledzińska</w:t>
      </w:r>
      <w:proofErr w:type="spellEnd"/>
      <w:r w:rsidRPr="00676849">
        <w:rPr>
          <w:rFonts w:eastAsia="Times New Roman"/>
          <w:kern w:val="0"/>
          <w:lang w:eastAsia="pl-PL"/>
        </w:rPr>
        <w:t xml:space="preserve">, M. (2000). </w:t>
      </w:r>
      <w:r w:rsidRPr="00676849">
        <w:rPr>
          <w:rFonts w:eastAsia="Times New Roman"/>
          <w:i/>
          <w:kern w:val="0"/>
          <w:lang w:eastAsia="pl-PL"/>
        </w:rPr>
        <w:t>Uczenie się wykraczające poza warunkowanie</w:t>
      </w:r>
      <w:r w:rsidRPr="00676849">
        <w:rPr>
          <w:rFonts w:eastAsia="Times New Roman"/>
          <w:kern w:val="0"/>
          <w:lang w:eastAsia="pl-PL"/>
        </w:rPr>
        <w:t xml:space="preserve">. W: J. </w:t>
      </w:r>
      <w:proofErr w:type="spellStart"/>
      <w:r w:rsidRPr="00676849">
        <w:rPr>
          <w:rFonts w:eastAsia="Times New Roman"/>
          <w:kern w:val="0"/>
          <w:lang w:eastAsia="pl-PL"/>
        </w:rPr>
        <w:t>Strelau</w:t>
      </w:r>
      <w:proofErr w:type="spellEnd"/>
      <w:r w:rsidRPr="00676849">
        <w:rPr>
          <w:rFonts w:eastAsia="Times New Roman"/>
          <w:kern w:val="0"/>
          <w:lang w:eastAsia="pl-PL"/>
        </w:rPr>
        <w:t xml:space="preserve"> (red.). </w:t>
      </w:r>
      <w:r w:rsidRPr="00676849">
        <w:rPr>
          <w:rFonts w:eastAsia="Times New Roman"/>
          <w:i/>
          <w:kern w:val="0"/>
          <w:lang w:eastAsia="pl-PL"/>
        </w:rPr>
        <w:t>Psychologia. Podręcznik akademicki.</w:t>
      </w:r>
      <w:r w:rsidRPr="00676849">
        <w:rPr>
          <w:rFonts w:eastAsia="Times New Roman"/>
          <w:kern w:val="0"/>
          <w:lang w:eastAsia="pl-PL"/>
        </w:rPr>
        <w:t xml:space="preserve"> Gdańsk: Gdańskie Wydawnictwo Psychologiczne.</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Mayer, R. (2003). </w:t>
      </w:r>
      <w:r w:rsidRPr="00676849">
        <w:rPr>
          <w:rFonts w:eastAsia="Times New Roman"/>
          <w:i/>
          <w:kern w:val="0"/>
          <w:lang w:val="en-US" w:eastAsia="pl-PL"/>
        </w:rPr>
        <w:t>Learning and Instruction</w:t>
      </w:r>
      <w:r w:rsidRPr="00676849">
        <w:rPr>
          <w:rFonts w:eastAsia="Times New Roman"/>
          <w:kern w:val="0"/>
          <w:lang w:val="en-US" w:eastAsia="pl-PL"/>
        </w:rPr>
        <w:t>. Upper Saddle River, NJ: Pearson Education Inc. </w:t>
      </w:r>
    </w:p>
    <w:p w:rsidR="00B3075F" w:rsidRPr="00676849" w:rsidRDefault="00B3075F" w:rsidP="00B3075F">
      <w:pPr>
        <w:widowControl/>
        <w:suppressAutoHyphens w:val="0"/>
        <w:spacing w:after="120"/>
        <w:ind w:left="720" w:hanging="720"/>
        <w:jc w:val="left"/>
        <w:rPr>
          <w:rFonts w:eastAsia="Times New Roman"/>
          <w:kern w:val="0"/>
          <w:lang w:eastAsia="pl-PL"/>
        </w:rPr>
      </w:pPr>
      <w:proofErr w:type="spellStart"/>
      <w:r w:rsidRPr="00676849">
        <w:rPr>
          <w:rFonts w:eastAsia="Times New Roman"/>
          <w:kern w:val="0"/>
          <w:lang w:val="en-US" w:eastAsia="pl-PL"/>
        </w:rPr>
        <w:t>Meichenbaum</w:t>
      </w:r>
      <w:proofErr w:type="spellEnd"/>
      <w:r w:rsidRPr="00676849">
        <w:rPr>
          <w:rFonts w:eastAsia="Times New Roman"/>
          <w:kern w:val="0"/>
          <w:lang w:val="en-US" w:eastAsia="pl-PL"/>
        </w:rPr>
        <w:t xml:space="preserve">, D., B. </w:t>
      </w:r>
      <w:proofErr w:type="spellStart"/>
      <w:r w:rsidRPr="00676849">
        <w:rPr>
          <w:rFonts w:eastAsia="Times New Roman"/>
          <w:kern w:val="0"/>
          <w:lang w:val="en-US" w:eastAsia="pl-PL"/>
        </w:rPr>
        <w:t>Burland</w:t>
      </w:r>
      <w:proofErr w:type="spellEnd"/>
      <w:proofErr w:type="gramStart"/>
      <w:r w:rsidRPr="00676849">
        <w:rPr>
          <w:rFonts w:eastAsia="Times New Roman"/>
          <w:kern w:val="0"/>
          <w:lang w:val="en-US" w:eastAsia="pl-PL"/>
        </w:rPr>
        <w:t>.,</w:t>
      </w:r>
      <w:proofErr w:type="gramEnd"/>
      <w:r w:rsidRPr="00676849">
        <w:rPr>
          <w:rFonts w:eastAsia="Times New Roman"/>
          <w:kern w:val="0"/>
          <w:lang w:val="en-US" w:eastAsia="pl-PL"/>
        </w:rPr>
        <w:t xml:space="preserve"> L. </w:t>
      </w:r>
      <w:proofErr w:type="spellStart"/>
      <w:r w:rsidRPr="00676849">
        <w:rPr>
          <w:rFonts w:eastAsia="Times New Roman"/>
          <w:kern w:val="0"/>
          <w:lang w:val="en-US" w:eastAsia="pl-PL"/>
        </w:rPr>
        <w:t>Gruson</w:t>
      </w:r>
      <w:proofErr w:type="spellEnd"/>
      <w:r w:rsidRPr="00676849">
        <w:rPr>
          <w:rFonts w:eastAsia="Times New Roman"/>
          <w:kern w:val="0"/>
          <w:lang w:val="en-US" w:eastAsia="pl-PL"/>
        </w:rPr>
        <w:t xml:space="preserve">. R., Cameron (1985). </w:t>
      </w:r>
      <w:r w:rsidRPr="00676849">
        <w:rPr>
          <w:rFonts w:eastAsia="Times New Roman"/>
          <w:i/>
          <w:kern w:val="0"/>
          <w:lang w:val="en-US" w:eastAsia="pl-PL"/>
        </w:rPr>
        <w:t xml:space="preserve">Metacognitive Assessment. </w:t>
      </w:r>
      <w:proofErr w:type="gramStart"/>
      <w:r w:rsidRPr="00676849">
        <w:rPr>
          <w:rFonts w:eastAsia="Times New Roman"/>
          <w:i/>
          <w:kern w:val="0"/>
          <w:lang w:val="en-US" w:eastAsia="pl-PL"/>
        </w:rPr>
        <w:t>The Growth of Reflection in Children</w:t>
      </w:r>
      <w:r w:rsidRPr="00676849">
        <w:rPr>
          <w:rFonts w:eastAsia="Times New Roman"/>
          <w:kern w:val="0"/>
          <w:lang w:val="en-US" w:eastAsia="pl-PL"/>
        </w:rPr>
        <w:t>.</w:t>
      </w:r>
      <w:proofErr w:type="gramEnd"/>
      <w:r w:rsidRPr="00676849">
        <w:rPr>
          <w:rFonts w:eastAsia="Times New Roman"/>
          <w:kern w:val="0"/>
          <w:lang w:val="en-US" w:eastAsia="pl-PL"/>
        </w:rPr>
        <w:t xml:space="preserve"> </w:t>
      </w:r>
      <w:r w:rsidRPr="00676849">
        <w:rPr>
          <w:rFonts w:eastAsia="Times New Roman"/>
          <w:kern w:val="0"/>
          <w:lang w:eastAsia="pl-PL"/>
        </w:rPr>
        <w:t xml:space="preserve">S. </w:t>
      </w:r>
      <w:proofErr w:type="spellStart"/>
      <w:r w:rsidRPr="00676849">
        <w:rPr>
          <w:rFonts w:eastAsia="Times New Roman"/>
          <w:kern w:val="0"/>
          <w:lang w:eastAsia="pl-PL"/>
        </w:rPr>
        <w:t>Yussen</w:t>
      </w:r>
      <w:proofErr w:type="spellEnd"/>
      <w:r w:rsidRPr="00676849">
        <w:rPr>
          <w:rFonts w:eastAsia="Times New Roman"/>
          <w:kern w:val="0"/>
          <w:lang w:eastAsia="pl-PL"/>
        </w:rPr>
        <w:t xml:space="preserve">. London, </w:t>
      </w:r>
      <w:proofErr w:type="spellStart"/>
      <w:r w:rsidRPr="00676849">
        <w:rPr>
          <w:rFonts w:eastAsia="Times New Roman"/>
          <w:kern w:val="0"/>
          <w:lang w:eastAsia="pl-PL"/>
        </w:rPr>
        <w:t>Academic</w:t>
      </w:r>
      <w:proofErr w:type="spellEnd"/>
      <w:r w:rsidRPr="00676849">
        <w:rPr>
          <w:rFonts w:eastAsia="Times New Roman"/>
          <w:kern w:val="0"/>
          <w:lang w:eastAsia="pl-PL"/>
        </w:rPr>
        <w:t xml:space="preserve"> Press.</w:t>
      </w:r>
    </w:p>
    <w:p w:rsidR="00B3075F" w:rsidRPr="00676849" w:rsidRDefault="00B3075F" w:rsidP="00B3075F">
      <w:pPr>
        <w:spacing w:after="120"/>
        <w:ind w:left="720" w:hanging="720"/>
        <w:jc w:val="left"/>
        <w:rPr>
          <w:lang w:val="en-US"/>
        </w:rPr>
      </w:pPr>
      <w:proofErr w:type="spellStart"/>
      <w:r w:rsidRPr="00676849">
        <w:t>Mietzel</w:t>
      </w:r>
      <w:proofErr w:type="spellEnd"/>
      <w:r w:rsidRPr="00676849">
        <w:t xml:space="preserve"> G. (2002). </w:t>
      </w:r>
      <w:r w:rsidRPr="00676849">
        <w:rPr>
          <w:i/>
        </w:rPr>
        <w:t>Psychologia kształcenia</w:t>
      </w:r>
      <w:r w:rsidRPr="00676849">
        <w:t xml:space="preserve">. Przeł. A. </w:t>
      </w:r>
      <w:proofErr w:type="spellStart"/>
      <w:r w:rsidRPr="00676849">
        <w:t>Ubertowska</w:t>
      </w:r>
      <w:proofErr w:type="spellEnd"/>
      <w:r w:rsidRPr="00676849">
        <w:t xml:space="preserve">. </w:t>
      </w:r>
      <w:r w:rsidRPr="00676849">
        <w:rPr>
          <w:lang w:val="en-US"/>
        </w:rPr>
        <w:t xml:space="preserve">GTP, Gdansk. </w:t>
      </w:r>
    </w:p>
    <w:p w:rsidR="00B3075F" w:rsidRPr="00676849" w:rsidRDefault="00B3075F" w:rsidP="00B3075F">
      <w:pPr>
        <w:widowControl/>
        <w:suppressAutoHyphens w:val="0"/>
        <w:spacing w:after="120"/>
        <w:ind w:firstLine="720"/>
        <w:jc w:val="left"/>
        <w:rPr>
          <w:rFonts w:eastAsia="Times New Roman"/>
          <w:kern w:val="0"/>
          <w:lang w:val="en-US" w:eastAsia="pl-PL"/>
        </w:rPr>
      </w:pPr>
      <w:proofErr w:type="gramStart"/>
      <w:r w:rsidRPr="00676849">
        <w:rPr>
          <w:rFonts w:eastAsia="Times New Roman"/>
          <w:kern w:val="0"/>
          <w:lang w:val="en-US" w:eastAsia="pl-PL"/>
        </w:rPr>
        <w:t xml:space="preserve">Moffett, J. (1985) </w:t>
      </w:r>
      <w:r w:rsidRPr="00676849">
        <w:rPr>
          <w:rFonts w:eastAsia="Times New Roman"/>
          <w:i/>
          <w:kern w:val="0"/>
          <w:lang w:val="en-US" w:eastAsia="pl-PL"/>
        </w:rPr>
        <w:t>Liberating Inner Speech</w:t>
      </w:r>
      <w:r w:rsidRPr="00676849">
        <w:rPr>
          <w:rFonts w:eastAsia="Times New Roman"/>
          <w:kern w:val="0"/>
          <w:lang w:val="en-US" w:eastAsia="pl-PL"/>
        </w:rPr>
        <w:t>.</w:t>
      </w:r>
      <w:proofErr w:type="gramEnd"/>
      <w:r w:rsidRPr="00676849">
        <w:rPr>
          <w:rFonts w:eastAsia="Times New Roman"/>
          <w:kern w:val="0"/>
          <w:lang w:val="en-US" w:eastAsia="pl-PL"/>
        </w:rPr>
        <w:t xml:space="preserve"> College Composition and Communication, 36 (3).</w:t>
      </w:r>
    </w:p>
    <w:p w:rsidR="00B3075F" w:rsidRPr="00676849" w:rsidRDefault="00B3075F" w:rsidP="00B3075F">
      <w:pPr>
        <w:widowControl/>
        <w:suppressAutoHyphens w:val="0"/>
        <w:spacing w:after="120"/>
        <w:ind w:firstLine="720"/>
        <w:jc w:val="left"/>
        <w:rPr>
          <w:rFonts w:eastAsia="Times New Roman"/>
          <w:kern w:val="0"/>
          <w:lang w:val="en-US" w:eastAsia="pl-PL"/>
        </w:rPr>
      </w:pPr>
      <w:proofErr w:type="gramStart"/>
      <w:r w:rsidRPr="00676849">
        <w:rPr>
          <w:rFonts w:eastAsia="Times New Roman"/>
          <w:kern w:val="0"/>
          <w:lang w:val="en-US" w:eastAsia="pl-PL"/>
        </w:rPr>
        <w:t>Muir-Broaddus, J. E. (1995).</w:t>
      </w:r>
      <w:proofErr w:type="gramEnd"/>
      <w:r w:rsidRPr="00676849">
        <w:rPr>
          <w:rFonts w:eastAsia="Times New Roman"/>
          <w:kern w:val="0"/>
          <w:lang w:val="en-US" w:eastAsia="pl-PL"/>
        </w:rPr>
        <w:t xml:space="preserve"> </w:t>
      </w:r>
      <w:r w:rsidRPr="00676849">
        <w:rPr>
          <w:rFonts w:eastAsia="Times New Roman"/>
          <w:i/>
          <w:kern w:val="0"/>
          <w:lang w:val="en-US" w:eastAsia="pl-PL"/>
        </w:rPr>
        <w:t>Gifted underachievers: Insights from the characteristics of strategic functioning associated with giftedness and achievement</w:t>
      </w:r>
      <w:r w:rsidRPr="00676849">
        <w:rPr>
          <w:rFonts w:eastAsia="Times New Roman"/>
          <w:kern w:val="0"/>
          <w:lang w:val="en-US" w:eastAsia="pl-PL"/>
        </w:rPr>
        <w:t>. Learning and Individual Differences, 7.</w:t>
      </w:r>
    </w:p>
    <w:p w:rsidR="00B3075F" w:rsidRPr="00676849" w:rsidRDefault="00B3075F" w:rsidP="00B3075F">
      <w:pPr>
        <w:widowControl/>
        <w:suppressAutoHyphens w:val="0"/>
        <w:spacing w:after="120"/>
        <w:ind w:firstLine="720"/>
        <w:jc w:val="left"/>
        <w:rPr>
          <w:rFonts w:eastAsia="Times New Roman"/>
          <w:kern w:val="0"/>
          <w:lang w:val="en-US" w:eastAsia="pl-PL"/>
        </w:rPr>
      </w:pPr>
      <w:proofErr w:type="spellStart"/>
      <w:r w:rsidRPr="00676849">
        <w:rPr>
          <w:rFonts w:eastAsia="Times New Roman"/>
          <w:kern w:val="0"/>
          <w:lang w:val="en-US" w:eastAsia="pl-PL"/>
        </w:rPr>
        <w:t>Nęcka</w:t>
      </w:r>
      <w:proofErr w:type="spellEnd"/>
      <w:r w:rsidRPr="00676849">
        <w:rPr>
          <w:rFonts w:eastAsia="Times New Roman"/>
          <w:kern w:val="0"/>
          <w:lang w:val="en-US" w:eastAsia="pl-PL"/>
        </w:rPr>
        <w:t xml:space="preserve"> E. (2005) </w:t>
      </w:r>
      <w:proofErr w:type="spellStart"/>
      <w:r w:rsidRPr="00676849">
        <w:rPr>
          <w:rFonts w:eastAsia="Times New Roman"/>
          <w:i/>
          <w:kern w:val="0"/>
          <w:lang w:val="en-US" w:eastAsia="pl-PL"/>
        </w:rPr>
        <w:t>Rusz</w:t>
      </w:r>
      <w:proofErr w:type="spellEnd"/>
      <w:r w:rsidRPr="00676849">
        <w:rPr>
          <w:rFonts w:eastAsia="Times New Roman"/>
          <w:i/>
          <w:kern w:val="0"/>
          <w:lang w:val="en-US" w:eastAsia="pl-PL"/>
        </w:rPr>
        <w:t xml:space="preserve"> </w:t>
      </w:r>
      <w:proofErr w:type="spellStart"/>
      <w:r w:rsidRPr="00676849">
        <w:rPr>
          <w:rFonts w:eastAsia="Times New Roman"/>
          <w:i/>
          <w:kern w:val="0"/>
          <w:lang w:val="en-US" w:eastAsia="pl-PL"/>
        </w:rPr>
        <w:t>głową</w:t>
      </w:r>
      <w:proofErr w:type="spellEnd"/>
      <w:r w:rsidRPr="00676849">
        <w:rPr>
          <w:rFonts w:eastAsia="Times New Roman"/>
          <w:kern w:val="0"/>
          <w:lang w:val="en-US" w:eastAsia="pl-PL"/>
        </w:rPr>
        <w:t xml:space="preserve">, Academia 4/05 (str. 12-15) </w:t>
      </w:r>
      <w:proofErr w:type="spellStart"/>
      <w:r w:rsidRPr="00676849">
        <w:rPr>
          <w:rFonts w:eastAsia="Times New Roman"/>
          <w:kern w:val="0"/>
          <w:lang w:val="en-US" w:eastAsia="pl-PL"/>
        </w:rPr>
        <w:t>Magazyn</w:t>
      </w:r>
      <w:proofErr w:type="spellEnd"/>
      <w:r w:rsidRPr="00676849">
        <w:rPr>
          <w:rFonts w:eastAsia="Times New Roman"/>
          <w:kern w:val="0"/>
          <w:lang w:val="en-US" w:eastAsia="pl-PL"/>
        </w:rPr>
        <w:t xml:space="preserve"> PAN</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Novak, J. D. </w:t>
      </w:r>
      <w:proofErr w:type="spellStart"/>
      <w:r w:rsidRPr="00676849">
        <w:rPr>
          <w:rFonts w:eastAsia="Times New Roman"/>
          <w:kern w:val="0"/>
          <w:lang w:val="en-US" w:eastAsia="pl-PL"/>
        </w:rPr>
        <w:t>Gowin</w:t>
      </w:r>
      <w:proofErr w:type="spellEnd"/>
      <w:r w:rsidRPr="00676849">
        <w:rPr>
          <w:rFonts w:eastAsia="Times New Roman"/>
          <w:kern w:val="0"/>
          <w:lang w:val="en-US" w:eastAsia="pl-PL"/>
        </w:rPr>
        <w:t xml:space="preserve">, D. B. (1984). </w:t>
      </w:r>
      <w:r w:rsidRPr="00676849">
        <w:rPr>
          <w:rFonts w:eastAsia="Times New Roman"/>
          <w:i/>
          <w:kern w:val="0"/>
          <w:lang w:val="en-US" w:eastAsia="pl-PL"/>
        </w:rPr>
        <w:t>Learning how to learn</w:t>
      </w:r>
      <w:r w:rsidRPr="00676849">
        <w:rPr>
          <w:rFonts w:eastAsia="Times New Roman"/>
          <w:kern w:val="0"/>
          <w:lang w:val="en-US" w:eastAsia="pl-PL"/>
        </w:rPr>
        <w:t>. New York: Cambridge Press.</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O’Neil, H., </w:t>
      </w:r>
      <w:proofErr w:type="spellStart"/>
      <w:r w:rsidRPr="00676849">
        <w:rPr>
          <w:rFonts w:eastAsia="Times New Roman"/>
          <w:kern w:val="0"/>
          <w:lang w:val="en-US" w:eastAsia="pl-PL"/>
        </w:rPr>
        <w:t>Abedi</w:t>
      </w:r>
      <w:proofErr w:type="spellEnd"/>
      <w:r w:rsidRPr="00676849">
        <w:rPr>
          <w:rFonts w:eastAsia="Times New Roman"/>
          <w:kern w:val="0"/>
          <w:lang w:val="en-US" w:eastAsia="pl-PL"/>
        </w:rPr>
        <w:t>, J. (1996</w:t>
      </w:r>
      <w:r w:rsidRPr="00676849">
        <w:rPr>
          <w:rFonts w:eastAsia="Times New Roman"/>
          <w:iCs/>
          <w:kern w:val="0"/>
          <w:lang w:val="en-US" w:eastAsia="pl-PL"/>
        </w:rPr>
        <w:t>).</w:t>
      </w:r>
      <w:r w:rsidRPr="00676849">
        <w:rPr>
          <w:rFonts w:eastAsia="Times New Roman"/>
          <w:i/>
          <w:iCs/>
          <w:kern w:val="0"/>
          <w:lang w:val="en-US" w:eastAsia="pl-PL"/>
        </w:rPr>
        <w:t xml:space="preserve"> Reliability and validity of a state metacognitive inventory: Potential for alternative assessment </w:t>
      </w:r>
      <w:r w:rsidRPr="00676849">
        <w:rPr>
          <w:rFonts w:eastAsia="Times New Roman"/>
          <w:kern w:val="0"/>
          <w:lang w:val="en-US" w:eastAsia="pl-PL"/>
        </w:rPr>
        <w:t>(CSE Tech. Rep. No. 469). Los Angeles: University of California, Center for the Study of Evaluation/National Center for Research on Evaluation, Standards, and Student Testing.</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eastAsia="pl-PL"/>
        </w:rPr>
        <w:t>Okebukola</w:t>
      </w:r>
      <w:proofErr w:type="spellEnd"/>
      <w:r w:rsidRPr="00676849">
        <w:rPr>
          <w:rFonts w:eastAsia="Times New Roman"/>
          <w:kern w:val="0"/>
          <w:lang w:eastAsia="pl-PL"/>
        </w:rPr>
        <w:t xml:space="preserve">, P. A. </w:t>
      </w:r>
      <w:proofErr w:type="spellStart"/>
      <w:r w:rsidRPr="00676849">
        <w:rPr>
          <w:rFonts w:eastAsia="Times New Roman"/>
          <w:kern w:val="0"/>
          <w:lang w:eastAsia="pl-PL"/>
        </w:rPr>
        <w:t>Jegede</w:t>
      </w:r>
      <w:proofErr w:type="spellEnd"/>
      <w:r w:rsidRPr="00676849">
        <w:rPr>
          <w:rFonts w:eastAsia="Times New Roman"/>
          <w:kern w:val="0"/>
          <w:lang w:eastAsia="pl-PL"/>
        </w:rPr>
        <w:t xml:space="preserve">, O.J. (1988). </w:t>
      </w:r>
      <w:proofErr w:type="gramStart"/>
      <w:r w:rsidRPr="00676849">
        <w:rPr>
          <w:rFonts w:eastAsia="Times New Roman"/>
          <w:i/>
          <w:kern w:val="0"/>
          <w:lang w:val="en-US" w:eastAsia="pl-PL"/>
        </w:rPr>
        <w:t>Cognitive preference and learning mode as determinants of meaningful learning through concept mapping</w:t>
      </w:r>
      <w:r w:rsidRPr="00676849">
        <w:rPr>
          <w:rFonts w:eastAsia="Times New Roman"/>
          <w:kern w:val="0"/>
          <w:lang w:val="en-US" w:eastAsia="pl-PL"/>
        </w:rPr>
        <w:t>.</w:t>
      </w:r>
      <w:proofErr w:type="gramEnd"/>
      <w:r w:rsidRPr="00676849">
        <w:rPr>
          <w:rFonts w:eastAsia="Times New Roman"/>
          <w:kern w:val="0"/>
          <w:lang w:val="en-US" w:eastAsia="pl-PL"/>
        </w:rPr>
        <w:t xml:space="preserve"> </w:t>
      </w:r>
      <w:r w:rsidRPr="00676849">
        <w:rPr>
          <w:rFonts w:eastAsia="Times New Roman"/>
          <w:iCs/>
          <w:kern w:val="0"/>
          <w:lang w:val="en-US" w:eastAsia="pl-PL"/>
        </w:rPr>
        <w:t>Science Education</w:t>
      </w:r>
      <w:r w:rsidRPr="00676849">
        <w:rPr>
          <w:rFonts w:eastAsia="Times New Roman"/>
          <w:kern w:val="0"/>
          <w:lang w:val="en-US" w:eastAsia="pl-PL"/>
        </w:rPr>
        <w:t xml:space="preserve">. </w:t>
      </w:r>
      <w:proofErr w:type="gramStart"/>
      <w:r w:rsidRPr="00676849">
        <w:rPr>
          <w:rFonts w:eastAsia="Times New Roman"/>
          <w:kern w:val="0"/>
          <w:lang w:val="en-US" w:eastAsia="pl-PL"/>
        </w:rPr>
        <w:t>72 (4).</w:t>
      </w:r>
      <w:proofErr w:type="gramEnd"/>
    </w:p>
    <w:p w:rsidR="00B3075F" w:rsidRPr="00676849" w:rsidRDefault="00B3075F" w:rsidP="00B3075F">
      <w:pPr>
        <w:spacing w:after="120"/>
        <w:ind w:left="720" w:hanging="720"/>
        <w:jc w:val="left"/>
        <w:rPr>
          <w:lang w:val="en-US"/>
        </w:rPr>
      </w:pPr>
      <w:proofErr w:type="spellStart"/>
      <w:r w:rsidRPr="00676849">
        <w:rPr>
          <w:lang w:val="en-US"/>
        </w:rPr>
        <w:t>Pintrich</w:t>
      </w:r>
      <w:proofErr w:type="spellEnd"/>
      <w:r w:rsidRPr="00676849">
        <w:rPr>
          <w:lang w:val="en-US"/>
        </w:rPr>
        <w:t xml:space="preserve">, P.R., </w:t>
      </w:r>
      <w:proofErr w:type="spellStart"/>
      <w:r w:rsidRPr="00676849">
        <w:rPr>
          <w:lang w:val="en-US"/>
        </w:rPr>
        <w:t>Wolters</w:t>
      </w:r>
      <w:proofErr w:type="spellEnd"/>
      <w:r w:rsidRPr="00676849">
        <w:rPr>
          <w:lang w:val="en-US"/>
        </w:rPr>
        <w:t xml:space="preserve">, C., Baxter, G. (2000). </w:t>
      </w:r>
      <w:r w:rsidRPr="00676849">
        <w:rPr>
          <w:i/>
          <w:lang w:val="en-US"/>
        </w:rPr>
        <w:t>Assessing metacognition and self-regulated learning</w:t>
      </w:r>
      <w:r w:rsidRPr="00676849">
        <w:rPr>
          <w:lang w:val="en-US"/>
        </w:rPr>
        <w:t xml:space="preserve">. W: G. </w:t>
      </w:r>
      <w:proofErr w:type="spellStart"/>
      <w:r w:rsidRPr="00676849">
        <w:rPr>
          <w:lang w:val="en-US"/>
        </w:rPr>
        <w:t>Schraw</w:t>
      </w:r>
      <w:proofErr w:type="spellEnd"/>
      <w:r w:rsidRPr="00676849">
        <w:rPr>
          <w:lang w:val="en-US"/>
        </w:rPr>
        <w:t xml:space="preserve"> J. </w:t>
      </w:r>
      <w:proofErr w:type="spellStart"/>
      <w:r w:rsidRPr="00676849">
        <w:rPr>
          <w:lang w:val="en-US"/>
        </w:rPr>
        <w:t>Impara</w:t>
      </w:r>
      <w:proofErr w:type="spellEnd"/>
      <w:r w:rsidRPr="00676849">
        <w:rPr>
          <w:lang w:val="en-US"/>
        </w:rPr>
        <w:t xml:space="preserve"> (red.), </w:t>
      </w:r>
      <w:r w:rsidRPr="00676849">
        <w:rPr>
          <w:i/>
          <w:lang w:val="en-US"/>
        </w:rPr>
        <w:t>Issues in the measurement of metacognition</w:t>
      </w:r>
      <w:r w:rsidRPr="00676849">
        <w:rPr>
          <w:lang w:val="en-US"/>
        </w:rPr>
        <w:t xml:space="preserve"> (str. 43-97). Lincoln, NE: </w:t>
      </w:r>
      <w:proofErr w:type="spellStart"/>
      <w:r w:rsidRPr="00676849">
        <w:rPr>
          <w:lang w:val="en-US"/>
        </w:rPr>
        <w:t>Buros</w:t>
      </w:r>
      <w:proofErr w:type="spellEnd"/>
      <w:r w:rsidRPr="00676849">
        <w:rPr>
          <w:lang w:val="en-US"/>
        </w:rPr>
        <w:t xml:space="preserve"> Institute of Mental Measurements.</w:t>
      </w:r>
    </w:p>
    <w:p w:rsidR="00B3075F" w:rsidRPr="00676849" w:rsidRDefault="00B3075F" w:rsidP="00B3075F">
      <w:pPr>
        <w:spacing w:after="120"/>
        <w:ind w:left="720" w:hanging="720"/>
        <w:jc w:val="left"/>
        <w:rPr>
          <w:lang w:val="en-US"/>
        </w:rPr>
      </w:pPr>
      <w:proofErr w:type="spellStart"/>
      <w:r w:rsidRPr="00676849">
        <w:rPr>
          <w:lang w:val="en-US"/>
        </w:rPr>
        <w:t>Pintrich</w:t>
      </w:r>
      <w:proofErr w:type="spellEnd"/>
      <w:r w:rsidRPr="00676849">
        <w:rPr>
          <w:lang w:val="en-US"/>
        </w:rPr>
        <w:t xml:space="preserve">, P.R., </w:t>
      </w:r>
      <w:proofErr w:type="spellStart"/>
      <w:r w:rsidRPr="00676849">
        <w:rPr>
          <w:lang w:val="en-US"/>
        </w:rPr>
        <w:t>Schunk</w:t>
      </w:r>
      <w:proofErr w:type="spellEnd"/>
      <w:r w:rsidRPr="00676849">
        <w:rPr>
          <w:lang w:val="en-US"/>
        </w:rPr>
        <w:t xml:space="preserve">, D.H. (2002). </w:t>
      </w:r>
      <w:r w:rsidRPr="00676849">
        <w:rPr>
          <w:i/>
          <w:lang w:val="en-US"/>
        </w:rPr>
        <w:t>Motivation in education: Theory, research, and applications</w:t>
      </w:r>
      <w:r w:rsidRPr="00676849">
        <w:rPr>
          <w:lang w:val="en-US"/>
        </w:rPr>
        <w:t>. Upper Saddle River, NJ: Merrill Prentice-Hall.</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Polya</w:t>
      </w:r>
      <w:proofErr w:type="spellEnd"/>
      <w:r w:rsidRPr="00676849">
        <w:rPr>
          <w:rFonts w:eastAsia="Times New Roman"/>
          <w:kern w:val="0"/>
          <w:lang w:val="en-US" w:eastAsia="pl-PL"/>
        </w:rPr>
        <w:t xml:space="preserve">, G. (1945). </w:t>
      </w:r>
      <w:proofErr w:type="gramStart"/>
      <w:r w:rsidRPr="00676849">
        <w:rPr>
          <w:rFonts w:eastAsia="Times New Roman"/>
          <w:i/>
          <w:iCs/>
          <w:kern w:val="0"/>
          <w:lang w:val="en-US" w:eastAsia="pl-PL"/>
        </w:rPr>
        <w:t>How to solve it</w:t>
      </w:r>
      <w:r w:rsidRPr="00676849">
        <w:rPr>
          <w:rFonts w:eastAsia="Times New Roman"/>
          <w:kern w:val="0"/>
          <w:lang w:val="en-US" w:eastAsia="pl-PL"/>
        </w:rPr>
        <w:t>.</w:t>
      </w:r>
      <w:proofErr w:type="gramEnd"/>
      <w:r w:rsidRPr="00676849">
        <w:rPr>
          <w:rFonts w:eastAsia="Times New Roman"/>
          <w:kern w:val="0"/>
          <w:lang w:val="en-US" w:eastAsia="pl-PL"/>
        </w:rPr>
        <w:t xml:space="preserve"> Princeton, NJ: Princeton University Press. </w:t>
      </w:r>
      <w:proofErr w:type="gramStart"/>
      <w:r w:rsidRPr="00676849">
        <w:rPr>
          <w:rFonts w:eastAsia="Times New Roman"/>
          <w:kern w:val="0"/>
          <w:lang w:val="en-US" w:eastAsia="pl-PL"/>
        </w:rPr>
        <w:t>(Reprinted 1957, Doubleday, Garden City, NY).</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Polya</w:t>
      </w:r>
      <w:proofErr w:type="spellEnd"/>
      <w:r w:rsidRPr="00676849">
        <w:rPr>
          <w:rFonts w:eastAsia="Times New Roman"/>
          <w:kern w:val="0"/>
          <w:lang w:val="en-US" w:eastAsia="pl-PL"/>
        </w:rPr>
        <w:t xml:space="preserve">, G. (1957). </w:t>
      </w:r>
      <w:r w:rsidRPr="00676849">
        <w:rPr>
          <w:rFonts w:eastAsia="Times New Roman"/>
          <w:i/>
          <w:iCs/>
          <w:kern w:val="0"/>
          <w:lang w:val="en-US" w:eastAsia="pl-PL"/>
        </w:rPr>
        <w:t xml:space="preserve">How to solve it: A new aspect of mathematical method </w:t>
      </w:r>
      <w:r w:rsidRPr="00676849">
        <w:rPr>
          <w:rFonts w:eastAsia="Times New Roman"/>
          <w:kern w:val="0"/>
          <w:lang w:val="en-US" w:eastAsia="pl-PL"/>
        </w:rPr>
        <w:t>(</w:t>
      </w:r>
      <w:proofErr w:type="spellStart"/>
      <w:r w:rsidRPr="00676849">
        <w:rPr>
          <w:rFonts w:eastAsia="Times New Roman"/>
          <w:kern w:val="0"/>
          <w:lang w:val="en-US" w:eastAsia="pl-PL"/>
        </w:rPr>
        <w:t>wydanie</w:t>
      </w:r>
      <w:proofErr w:type="spellEnd"/>
      <w:r w:rsidRPr="00676849">
        <w:rPr>
          <w:rFonts w:eastAsia="Times New Roman"/>
          <w:kern w:val="0"/>
          <w:lang w:val="en-US" w:eastAsia="pl-PL"/>
        </w:rPr>
        <w:t xml:space="preserve"> 2). Princeton: Princeton University Press.</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Posner, M. I., Petersen, S. E. Fox, P. T., </w:t>
      </w:r>
      <w:proofErr w:type="spellStart"/>
      <w:r w:rsidRPr="00676849">
        <w:rPr>
          <w:rFonts w:eastAsia="Times New Roman"/>
          <w:kern w:val="0"/>
          <w:lang w:val="en-US" w:eastAsia="pl-PL"/>
        </w:rPr>
        <w:t>Raichle</w:t>
      </w:r>
      <w:proofErr w:type="spellEnd"/>
      <w:r w:rsidRPr="00676849">
        <w:rPr>
          <w:rFonts w:eastAsia="Times New Roman"/>
          <w:kern w:val="0"/>
          <w:lang w:val="en-US" w:eastAsia="pl-PL"/>
        </w:rPr>
        <w:t xml:space="preserve">, </w:t>
      </w:r>
      <w:proofErr w:type="gramStart"/>
      <w:r w:rsidRPr="00676849">
        <w:rPr>
          <w:rFonts w:eastAsia="Times New Roman"/>
          <w:kern w:val="0"/>
          <w:lang w:val="en-US" w:eastAsia="pl-PL"/>
        </w:rPr>
        <w:t>M. E.</w:t>
      </w:r>
      <w:proofErr w:type="gramEnd"/>
      <w:r w:rsidRPr="00676849">
        <w:rPr>
          <w:rFonts w:eastAsia="Times New Roman"/>
          <w:kern w:val="0"/>
          <w:lang w:val="en-US" w:eastAsia="pl-PL"/>
        </w:rPr>
        <w:t xml:space="preserve"> (1988). </w:t>
      </w:r>
      <w:proofErr w:type="gramStart"/>
      <w:r w:rsidRPr="00676849">
        <w:rPr>
          <w:rFonts w:eastAsia="Times New Roman"/>
          <w:i/>
          <w:kern w:val="0"/>
          <w:lang w:val="en-US" w:eastAsia="pl-PL"/>
        </w:rPr>
        <w:t>Localization of cognitive operations in the human brain.</w:t>
      </w:r>
      <w:proofErr w:type="gramEnd"/>
      <w:r w:rsidRPr="00676849">
        <w:rPr>
          <w:rFonts w:eastAsia="Times New Roman"/>
          <w:i/>
          <w:kern w:val="0"/>
          <w:lang w:val="en-US" w:eastAsia="pl-PL"/>
        </w:rPr>
        <w:t xml:space="preserve"> </w:t>
      </w:r>
      <w:proofErr w:type="gramStart"/>
      <w:r w:rsidRPr="00676849">
        <w:rPr>
          <w:rFonts w:eastAsia="Times New Roman"/>
          <w:iCs/>
          <w:kern w:val="0"/>
          <w:lang w:val="en-US" w:eastAsia="pl-PL"/>
        </w:rPr>
        <w:t>Science,</w:t>
      </w:r>
      <w:r w:rsidRPr="00676849">
        <w:rPr>
          <w:rFonts w:eastAsia="Times New Roman"/>
          <w:i/>
          <w:iCs/>
          <w:kern w:val="0"/>
          <w:lang w:val="en-US" w:eastAsia="pl-PL"/>
        </w:rPr>
        <w:t xml:space="preserve"> </w:t>
      </w:r>
      <w:r w:rsidRPr="00676849">
        <w:rPr>
          <w:rFonts w:eastAsia="Times New Roman"/>
          <w:bCs/>
          <w:kern w:val="0"/>
          <w:lang w:val="en-US" w:eastAsia="pl-PL"/>
        </w:rPr>
        <w:t>240</w:t>
      </w:r>
      <w:r w:rsidRPr="00676849">
        <w:rPr>
          <w:rFonts w:eastAsia="Times New Roman"/>
          <w:kern w:val="0"/>
          <w:lang w:val="en-US" w:eastAsia="pl-PL"/>
        </w:rPr>
        <w:t>.</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AdvSTP_PSTimR"/>
          <w:kern w:val="0"/>
          <w:lang w:val="en-US" w:eastAsia="pl-PL"/>
        </w:rPr>
        <w:t xml:space="preserve">Posner, G. J., Strike, K. A., </w:t>
      </w:r>
      <w:proofErr w:type="spellStart"/>
      <w:r w:rsidRPr="00676849">
        <w:rPr>
          <w:rFonts w:eastAsia="AdvSTP_PSTimR"/>
          <w:kern w:val="0"/>
          <w:lang w:val="en-US" w:eastAsia="pl-PL"/>
        </w:rPr>
        <w:t>Hewson</w:t>
      </w:r>
      <w:proofErr w:type="spellEnd"/>
      <w:r w:rsidRPr="00676849">
        <w:rPr>
          <w:rFonts w:eastAsia="AdvSTP_PSTimR"/>
          <w:kern w:val="0"/>
          <w:lang w:val="en-US" w:eastAsia="pl-PL"/>
        </w:rPr>
        <w:t xml:space="preserve">, P. W., </w:t>
      </w:r>
      <w:proofErr w:type="spellStart"/>
      <w:r w:rsidRPr="00676849">
        <w:rPr>
          <w:rFonts w:eastAsia="AdvSTP_PSTimR"/>
          <w:kern w:val="0"/>
          <w:lang w:val="en-US" w:eastAsia="pl-PL"/>
        </w:rPr>
        <w:t>Gertzog</w:t>
      </w:r>
      <w:proofErr w:type="spellEnd"/>
      <w:r w:rsidRPr="00676849">
        <w:rPr>
          <w:rFonts w:eastAsia="AdvSTP_PSTimR"/>
          <w:kern w:val="0"/>
          <w:lang w:val="en-US" w:eastAsia="pl-PL"/>
        </w:rPr>
        <w:t xml:space="preserve">, W. A. (1982). </w:t>
      </w:r>
      <w:r w:rsidRPr="00676849">
        <w:rPr>
          <w:rFonts w:eastAsia="AdvSTP_PSTimR"/>
          <w:i/>
          <w:kern w:val="0"/>
          <w:lang w:val="en-US" w:eastAsia="pl-PL"/>
        </w:rPr>
        <w:t>Accommodation of a scientific conception: towards a theory of conceptual change.</w:t>
      </w:r>
      <w:r w:rsidRPr="00676849">
        <w:rPr>
          <w:rFonts w:eastAsia="AdvSTP_PSTimR"/>
          <w:kern w:val="0"/>
          <w:lang w:val="en-US" w:eastAsia="pl-PL"/>
        </w:rPr>
        <w:t xml:space="preserve"> </w:t>
      </w:r>
      <w:proofErr w:type="gramStart"/>
      <w:r w:rsidRPr="00676849">
        <w:rPr>
          <w:rFonts w:eastAsia="AdvSTP_PSTimR"/>
          <w:kern w:val="0"/>
          <w:lang w:val="en-US" w:eastAsia="pl-PL"/>
        </w:rPr>
        <w:t>Science Education, 66.</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Schoenfeld</w:t>
      </w:r>
      <w:proofErr w:type="spellEnd"/>
      <w:r w:rsidRPr="00676849">
        <w:rPr>
          <w:rFonts w:eastAsia="Times New Roman"/>
          <w:kern w:val="0"/>
          <w:lang w:val="en-US" w:eastAsia="pl-PL"/>
        </w:rPr>
        <w:t xml:space="preserve">, A. H. (1985b). </w:t>
      </w:r>
      <w:r w:rsidRPr="00676849">
        <w:rPr>
          <w:rFonts w:eastAsia="Times New Roman"/>
          <w:i/>
          <w:kern w:val="0"/>
          <w:lang w:val="en-US" w:eastAsia="pl-PL"/>
        </w:rPr>
        <w:t xml:space="preserve">Making sense of “out loud” </w:t>
      </w:r>
      <w:proofErr w:type="gramStart"/>
      <w:r w:rsidRPr="00676849">
        <w:rPr>
          <w:rFonts w:eastAsia="Times New Roman"/>
          <w:i/>
          <w:kern w:val="0"/>
          <w:lang w:val="en-US" w:eastAsia="pl-PL"/>
        </w:rPr>
        <w:t>problem solving</w:t>
      </w:r>
      <w:proofErr w:type="gramEnd"/>
      <w:r w:rsidRPr="00676849">
        <w:rPr>
          <w:rFonts w:eastAsia="Times New Roman"/>
          <w:i/>
          <w:kern w:val="0"/>
          <w:lang w:val="en-US" w:eastAsia="pl-PL"/>
        </w:rPr>
        <w:t xml:space="preserve"> protocols</w:t>
      </w:r>
      <w:r w:rsidRPr="00676849">
        <w:rPr>
          <w:rFonts w:eastAsia="Times New Roman"/>
          <w:kern w:val="0"/>
          <w:lang w:val="en-US" w:eastAsia="pl-PL"/>
        </w:rPr>
        <w:t xml:space="preserve">. </w:t>
      </w:r>
      <w:proofErr w:type="gramStart"/>
      <w:r w:rsidRPr="00676849">
        <w:rPr>
          <w:rFonts w:eastAsia="Times New Roman"/>
          <w:iCs/>
          <w:kern w:val="0"/>
          <w:lang w:val="en-US" w:eastAsia="pl-PL"/>
        </w:rPr>
        <w:t>Journal of Mathematical Behavior, 4</w:t>
      </w:r>
      <w:r w:rsidRPr="00676849">
        <w:rPr>
          <w:rFonts w:eastAsia="Times New Roman"/>
          <w:kern w:val="0"/>
          <w:lang w:val="en-US" w:eastAsia="pl-PL"/>
        </w:rPr>
        <w:t>.</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Schoenfeld</w:t>
      </w:r>
      <w:proofErr w:type="spellEnd"/>
      <w:r w:rsidRPr="00676849">
        <w:rPr>
          <w:rFonts w:eastAsia="Times New Roman"/>
          <w:kern w:val="0"/>
          <w:lang w:val="en-US" w:eastAsia="pl-PL"/>
        </w:rPr>
        <w:t xml:space="preserve">, A. H. (1992). </w:t>
      </w:r>
      <w:r w:rsidRPr="00676849">
        <w:rPr>
          <w:rFonts w:eastAsia="Times New Roman"/>
          <w:i/>
          <w:kern w:val="0"/>
          <w:lang w:val="en-US" w:eastAsia="pl-PL"/>
        </w:rPr>
        <w:t>Learning to think mathematically: Problem solving, metacognition, and sense making in mathematics</w:t>
      </w:r>
      <w:r w:rsidRPr="00676849">
        <w:rPr>
          <w:rFonts w:eastAsia="Times New Roman"/>
          <w:kern w:val="0"/>
          <w:lang w:val="en-US" w:eastAsia="pl-PL"/>
        </w:rPr>
        <w:t xml:space="preserve">. W: D. A. Grows (red.), </w:t>
      </w:r>
      <w:r w:rsidRPr="00676849">
        <w:rPr>
          <w:rFonts w:eastAsia="Times New Roman"/>
          <w:i/>
          <w:iCs/>
          <w:kern w:val="0"/>
          <w:lang w:val="en-US" w:eastAsia="pl-PL"/>
        </w:rPr>
        <w:t xml:space="preserve">Handbook of research on mathematics teaching and learning </w:t>
      </w:r>
      <w:r w:rsidRPr="00676849">
        <w:rPr>
          <w:rFonts w:eastAsia="Times New Roman"/>
          <w:kern w:val="0"/>
          <w:lang w:val="en-US" w:eastAsia="pl-PL"/>
        </w:rPr>
        <w:t>(str. 334-370). New York: Macmillan.</w:t>
      </w:r>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Schraw</w:t>
      </w:r>
      <w:proofErr w:type="spellEnd"/>
      <w:r w:rsidRPr="00676849">
        <w:rPr>
          <w:rFonts w:eastAsia="Times New Roman"/>
          <w:kern w:val="0"/>
          <w:lang w:val="en-US" w:eastAsia="pl-PL"/>
        </w:rPr>
        <w:t xml:space="preserve">, G., and Dennison, R. S. (1994) </w:t>
      </w:r>
      <w:proofErr w:type="gramStart"/>
      <w:r w:rsidRPr="00676849">
        <w:rPr>
          <w:rFonts w:eastAsia="Times New Roman"/>
          <w:i/>
          <w:kern w:val="0"/>
          <w:lang w:val="en-US" w:eastAsia="pl-PL"/>
        </w:rPr>
        <w:t>Assessing</w:t>
      </w:r>
      <w:proofErr w:type="gramEnd"/>
      <w:r w:rsidRPr="00676849">
        <w:rPr>
          <w:rFonts w:eastAsia="Times New Roman"/>
          <w:i/>
          <w:kern w:val="0"/>
          <w:lang w:val="en-US" w:eastAsia="pl-PL"/>
        </w:rPr>
        <w:t xml:space="preserve"> metacognitive awareness</w:t>
      </w:r>
      <w:r w:rsidRPr="00676849">
        <w:rPr>
          <w:rFonts w:eastAsia="Times New Roman"/>
          <w:kern w:val="0"/>
          <w:lang w:val="en-US" w:eastAsia="pl-PL"/>
        </w:rPr>
        <w:t xml:space="preserve">. </w:t>
      </w:r>
      <w:proofErr w:type="gramStart"/>
      <w:r w:rsidRPr="00676849">
        <w:rPr>
          <w:rFonts w:eastAsia="Times New Roman"/>
          <w:iCs/>
          <w:kern w:val="0"/>
          <w:lang w:val="en-US" w:eastAsia="pl-PL"/>
        </w:rPr>
        <w:t xml:space="preserve">Contemporary Educational Psychology </w:t>
      </w:r>
      <w:r w:rsidRPr="00676849">
        <w:rPr>
          <w:rFonts w:eastAsia="Times New Roman"/>
          <w:kern w:val="0"/>
          <w:lang w:val="en-US" w:eastAsia="pl-PL"/>
        </w:rPr>
        <w:t>19.</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Schraw</w:t>
      </w:r>
      <w:proofErr w:type="spellEnd"/>
      <w:r w:rsidRPr="00676849">
        <w:rPr>
          <w:rFonts w:eastAsia="Times New Roman"/>
          <w:kern w:val="0"/>
          <w:lang w:val="en-US" w:eastAsia="pl-PL"/>
        </w:rPr>
        <w:t xml:space="preserve">, G., and </w:t>
      </w:r>
      <w:proofErr w:type="spellStart"/>
      <w:r w:rsidRPr="00676849">
        <w:rPr>
          <w:rFonts w:eastAsia="Times New Roman"/>
          <w:kern w:val="0"/>
          <w:lang w:val="en-US" w:eastAsia="pl-PL"/>
        </w:rPr>
        <w:t>Moshman</w:t>
      </w:r>
      <w:proofErr w:type="spellEnd"/>
      <w:r w:rsidRPr="00676849">
        <w:rPr>
          <w:rFonts w:eastAsia="Times New Roman"/>
          <w:kern w:val="0"/>
          <w:lang w:val="en-US" w:eastAsia="pl-PL"/>
        </w:rPr>
        <w:t xml:space="preserve">, D. (1995) </w:t>
      </w:r>
      <w:r w:rsidRPr="00676849">
        <w:rPr>
          <w:rFonts w:eastAsia="Times New Roman"/>
          <w:i/>
          <w:kern w:val="0"/>
          <w:lang w:val="en-US" w:eastAsia="pl-PL"/>
        </w:rPr>
        <w:t>Metacognitive Theories</w:t>
      </w:r>
      <w:r w:rsidRPr="00676849">
        <w:rPr>
          <w:rFonts w:eastAsia="Times New Roman"/>
          <w:kern w:val="0"/>
          <w:lang w:val="en-US" w:eastAsia="pl-PL"/>
        </w:rPr>
        <w:t xml:space="preserve">. </w:t>
      </w:r>
      <w:proofErr w:type="gramStart"/>
      <w:r w:rsidRPr="00676849">
        <w:rPr>
          <w:rFonts w:eastAsia="Times New Roman"/>
          <w:iCs/>
          <w:kern w:val="0"/>
          <w:lang w:val="en-US" w:eastAsia="pl-PL"/>
        </w:rPr>
        <w:t xml:space="preserve">Educational Psychology Review </w:t>
      </w:r>
      <w:r w:rsidRPr="00676849">
        <w:rPr>
          <w:rFonts w:eastAsia="Times New Roman"/>
          <w:kern w:val="0"/>
          <w:lang w:val="en-US" w:eastAsia="pl-PL"/>
        </w:rPr>
        <w:t>7, 4</w:t>
      </w:r>
      <w:r>
        <w:rPr>
          <w:rFonts w:eastAsia="Times New Roman"/>
          <w:kern w:val="0"/>
          <w:lang w:val="en-US" w:eastAsia="pl-PL"/>
        </w:rPr>
        <w:t>.</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r w:rsidRPr="00676849">
        <w:rPr>
          <w:rFonts w:eastAsia="Times New Roman"/>
          <w:kern w:val="0"/>
          <w:lang w:val="en-US" w:eastAsia="pl-PL"/>
        </w:rPr>
        <w:t>Schunk</w:t>
      </w:r>
      <w:proofErr w:type="spellEnd"/>
      <w:r w:rsidRPr="00676849">
        <w:rPr>
          <w:rFonts w:eastAsia="Times New Roman"/>
          <w:kern w:val="0"/>
          <w:lang w:val="en-US" w:eastAsia="pl-PL"/>
        </w:rPr>
        <w:t>, D.H</w:t>
      </w:r>
      <w:proofErr w:type="gramStart"/>
      <w:r w:rsidRPr="00676849">
        <w:rPr>
          <w:rFonts w:eastAsia="Times New Roman"/>
          <w:kern w:val="0"/>
          <w:lang w:val="en-US" w:eastAsia="pl-PL"/>
        </w:rPr>
        <w:t>.(</w:t>
      </w:r>
      <w:proofErr w:type="gramEnd"/>
      <w:r w:rsidRPr="00676849">
        <w:rPr>
          <w:rFonts w:eastAsia="Times New Roman"/>
          <w:kern w:val="0"/>
          <w:lang w:val="en-US" w:eastAsia="pl-PL"/>
        </w:rPr>
        <w:t>1991).</w:t>
      </w:r>
      <w:r>
        <w:rPr>
          <w:rFonts w:eastAsia="Times New Roman"/>
          <w:kern w:val="0"/>
          <w:lang w:val="en-US" w:eastAsia="pl-PL"/>
        </w:rPr>
        <w:t xml:space="preserve"> </w:t>
      </w:r>
      <w:proofErr w:type="gramStart"/>
      <w:r w:rsidRPr="00676849">
        <w:rPr>
          <w:rFonts w:eastAsia="Times New Roman"/>
          <w:i/>
          <w:kern w:val="0"/>
          <w:lang w:val="en-US" w:eastAsia="pl-PL"/>
        </w:rPr>
        <w:t>Self-efficacy and academic motivation</w:t>
      </w:r>
      <w:r>
        <w:rPr>
          <w:rFonts w:eastAsia="Times New Roman"/>
          <w:kern w:val="0"/>
          <w:lang w:val="en-US" w:eastAsia="pl-PL"/>
        </w:rPr>
        <w:t>.</w:t>
      </w:r>
      <w:proofErr w:type="gramEnd"/>
      <w:r>
        <w:rPr>
          <w:rFonts w:eastAsia="Times New Roman"/>
          <w:kern w:val="0"/>
          <w:lang w:val="en-US" w:eastAsia="pl-PL"/>
        </w:rPr>
        <w:t xml:space="preserve"> </w:t>
      </w:r>
      <w:proofErr w:type="gramStart"/>
      <w:r>
        <w:rPr>
          <w:rFonts w:eastAsia="Times New Roman"/>
          <w:kern w:val="0"/>
          <w:lang w:val="en-US" w:eastAsia="pl-PL"/>
        </w:rPr>
        <w:t>Educational Psychologist, 26.</w:t>
      </w:r>
      <w:proofErr w:type="gramEnd"/>
    </w:p>
    <w:p w:rsidR="00B3075F" w:rsidRPr="00676849" w:rsidRDefault="00B3075F" w:rsidP="00B3075F">
      <w:pPr>
        <w:spacing w:after="120"/>
        <w:ind w:left="720" w:hanging="720"/>
        <w:jc w:val="left"/>
        <w:rPr>
          <w:lang w:val="en-US"/>
        </w:rPr>
      </w:pPr>
      <w:r w:rsidRPr="00676849">
        <w:rPr>
          <w:lang w:val="en-US"/>
        </w:rPr>
        <w:t xml:space="preserve">Simpson, M. L., </w:t>
      </w:r>
      <w:proofErr w:type="spellStart"/>
      <w:r w:rsidRPr="00676849">
        <w:rPr>
          <w:lang w:val="en-US"/>
        </w:rPr>
        <w:t>Nist</w:t>
      </w:r>
      <w:proofErr w:type="spellEnd"/>
      <w:r w:rsidRPr="00676849">
        <w:rPr>
          <w:lang w:val="en-US"/>
        </w:rPr>
        <w:t xml:space="preserve">, S. L. (2000). </w:t>
      </w:r>
      <w:r w:rsidRPr="00676849">
        <w:rPr>
          <w:i/>
          <w:lang w:val="en-US"/>
        </w:rPr>
        <w:t>An update on strategic learning: It’s more than textbook reading strategies</w:t>
      </w:r>
      <w:r w:rsidRPr="00676849">
        <w:rPr>
          <w:lang w:val="en-US"/>
        </w:rPr>
        <w:t xml:space="preserve">. </w:t>
      </w:r>
      <w:proofErr w:type="gramStart"/>
      <w:r w:rsidRPr="00676849">
        <w:rPr>
          <w:lang w:val="en-US"/>
        </w:rPr>
        <w:t>Journal of Adole</w:t>
      </w:r>
      <w:r>
        <w:rPr>
          <w:lang w:val="en-US"/>
        </w:rPr>
        <w:t>scent and Adult Literacy, 43(6)</w:t>
      </w:r>
      <w:r w:rsidRPr="00676849">
        <w:rPr>
          <w:lang w:val="en-US"/>
        </w:rPr>
        <w:t>.</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Sternberg, R. J., </w:t>
      </w:r>
      <w:proofErr w:type="spellStart"/>
      <w:r w:rsidRPr="00676849">
        <w:rPr>
          <w:rFonts w:eastAsia="Times New Roman"/>
          <w:kern w:val="0"/>
          <w:lang w:val="en-US" w:eastAsia="pl-PL"/>
        </w:rPr>
        <w:t>Lubart</w:t>
      </w:r>
      <w:proofErr w:type="spellEnd"/>
      <w:r w:rsidRPr="00676849">
        <w:rPr>
          <w:rFonts w:eastAsia="Times New Roman"/>
          <w:kern w:val="0"/>
          <w:lang w:val="en-US" w:eastAsia="pl-PL"/>
        </w:rPr>
        <w:t xml:space="preserve">, T. I. (1995). </w:t>
      </w:r>
      <w:r w:rsidRPr="00676849">
        <w:rPr>
          <w:rFonts w:eastAsia="Times New Roman"/>
          <w:i/>
          <w:iCs/>
          <w:kern w:val="0"/>
          <w:lang w:val="en-US" w:eastAsia="pl-PL"/>
        </w:rPr>
        <w:t xml:space="preserve">Defying the crowd: Cultivating creativity in a culture of conformity. </w:t>
      </w:r>
      <w:r w:rsidRPr="00676849">
        <w:rPr>
          <w:rFonts w:eastAsia="Times New Roman"/>
          <w:kern w:val="0"/>
          <w:lang w:val="en-US" w:eastAsia="pl-PL"/>
        </w:rPr>
        <w:t>New York: Free Press.</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Swanson, H. L. (1990). </w:t>
      </w:r>
      <w:proofErr w:type="gramStart"/>
      <w:r w:rsidRPr="00676849">
        <w:rPr>
          <w:rFonts w:eastAsia="Times New Roman"/>
          <w:i/>
          <w:kern w:val="0"/>
          <w:lang w:val="en-US" w:eastAsia="pl-PL"/>
        </w:rPr>
        <w:t>The influence of metacognitive knowledge and aptitude on problem solving</w:t>
      </w:r>
      <w:r w:rsidRPr="00676849">
        <w:rPr>
          <w:rFonts w:eastAsia="Times New Roman"/>
          <w:kern w:val="0"/>
          <w:lang w:val="en-US" w:eastAsia="pl-PL"/>
        </w:rPr>
        <w:t>.</w:t>
      </w:r>
      <w:proofErr w:type="gramEnd"/>
      <w:r w:rsidRPr="00676849">
        <w:rPr>
          <w:rFonts w:eastAsia="Times New Roman"/>
          <w:kern w:val="0"/>
          <w:lang w:val="en-US" w:eastAsia="pl-PL"/>
        </w:rPr>
        <w:t xml:space="preserve"> </w:t>
      </w:r>
      <w:proofErr w:type="gramStart"/>
      <w:r w:rsidRPr="00676849">
        <w:rPr>
          <w:rFonts w:eastAsia="Times New Roman"/>
          <w:kern w:val="0"/>
          <w:lang w:val="en-US" w:eastAsia="pl-PL"/>
        </w:rPr>
        <w:t>Journal of Educational Psychology, 82.</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Taylor, P. Fraser, B. (1991). </w:t>
      </w:r>
      <w:r w:rsidRPr="00676849">
        <w:rPr>
          <w:rFonts w:eastAsia="Times New Roman"/>
          <w:i/>
          <w:kern w:val="0"/>
          <w:lang w:val="en-US" w:eastAsia="pl-PL"/>
        </w:rPr>
        <w:t xml:space="preserve">An Instrument for </w:t>
      </w:r>
      <w:proofErr w:type="gramStart"/>
      <w:r w:rsidRPr="00676849">
        <w:rPr>
          <w:rFonts w:eastAsia="Times New Roman"/>
          <w:i/>
          <w:kern w:val="0"/>
          <w:lang w:val="en-US" w:eastAsia="pl-PL"/>
        </w:rPr>
        <w:t>Assessing  Constructivist</w:t>
      </w:r>
      <w:proofErr w:type="gramEnd"/>
      <w:r w:rsidRPr="00676849">
        <w:rPr>
          <w:rFonts w:eastAsia="Times New Roman"/>
          <w:i/>
          <w:kern w:val="0"/>
          <w:lang w:val="en-US" w:eastAsia="pl-PL"/>
        </w:rPr>
        <w:t xml:space="preserve"> Learning Environments.</w:t>
      </w:r>
      <w:r w:rsidRPr="00676849">
        <w:rPr>
          <w:rFonts w:eastAsia="Times New Roman"/>
          <w:kern w:val="0"/>
          <w:lang w:val="en-US" w:eastAsia="pl-PL"/>
        </w:rPr>
        <w:t xml:space="preserve"> </w:t>
      </w:r>
      <w:proofErr w:type="gramStart"/>
      <w:r w:rsidRPr="00676849">
        <w:rPr>
          <w:rFonts w:eastAsia="Times New Roman"/>
          <w:kern w:val="0"/>
          <w:lang w:val="en-US" w:eastAsia="pl-PL"/>
        </w:rPr>
        <w:t>National Association for Research in Science Teaching, Wisconsin.</w:t>
      </w:r>
      <w:proofErr w:type="gramEnd"/>
      <w:r w:rsidRPr="00676849">
        <w:rPr>
          <w:rFonts w:eastAsia="Times New Roman"/>
          <w:kern w:val="0"/>
          <w:lang w:val="en-US" w:eastAsia="pl-PL"/>
        </w:rPr>
        <w:t xml:space="preserve"> </w:t>
      </w:r>
    </w:p>
    <w:p w:rsidR="00B3075F" w:rsidRPr="00676849" w:rsidRDefault="00B3075F" w:rsidP="00B3075F">
      <w:pPr>
        <w:spacing w:after="120"/>
        <w:ind w:left="720" w:hanging="720"/>
        <w:jc w:val="left"/>
        <w:rPr>
          <w:lang w:val="en-US"/>
        </w:rPr>
      </w:pPr>
      <w:r w:rsidRPr="00676849">
        <w:rPr>
          <w:lang w:val="en-US"/>
        </w:rPr>
        <w:t xml:space="preserve">Tobias, S. Everson, HT (1996). </w:t>
      </w:r>
      <w:r w:rsidRPr="00676849">
        <w:rPr>
          <w:i/>
          <w:lang w:val="en-US"/>
        </w:rPr>
        <w:t>Assessing metacognitive knowledge monitoring</w:t>
      </w:r>
      <w:r w:rsidRPr="00676849">
        <w:rPr>
          <w:lang w:val="en-US"/>
        </w:rPr>
        <w:t xml:space="preserve">. </w:t>
      </w:r>
      <w:proofErr w:type="gramStart"/>
      <w:r w:rsidRPr="00676849">
        <w:rPr>
          <w:lang w:val="en-US"/>
        </w:rPr>
        <w:t>College Board Report No. 96-01.</w:t>
      </w:r>
      <w:proofErr w:type="gramEnd"/>
      <w:r w:rsidRPr="00676849">
        <w:rPr>
          <w:lang w:val="en-US"/>
        </w:rPr>
        <w:t xml:space="preserve"> College Board, NY</w:t>
      </w:r>
    </w:p>
    <w:p w:rsidR="00B3075F" w:rsidRPr="00676849" w:rsidRDefault="00B3075F" w:rsidP="00B3075F">
      <w:pPr>
        <w:spacing w:after="120"/>
        <w:ind w:left="720" w:hanging="720"/>
        <w:jc w:val="left"/>
        <w:rPr>
          <w:lang w:val="en-US"/>
        </w:rPr>
      </w:pPr>
      <w:proofErr w:type="gramStart"/>
      <w:r w:rsidRPr="00676849">
        <w:rPr>
          <w:lang w:val="en-US"/>
        </w:rPr>
        <w:t>Tobias, S., Everson, H.T. (2002).</w:t>
      </w:r>
      <w:proofErr w:type="gramEnd"/>
      <w:r w:rsidRPr="00676849">
        <w:rPr>
          <w:lang w:val="en-US"/>
        </w:rPr>
        <w:t xml:space="preserve"> </w:t>
      </w:r>
      <w:r w:rsidRPr="00676849">
        <w:rPr>
          <w:i/>
          <w:lang w:val="en-US"/>
        </w:rPr>
        <w:t>Assessing metacognitive knowledge monitoring</w:t>
      </w:r>
      <w:r w:rsidRPr="00676849">
        <w:rPr>
          <w:lang w:val="en-US"/>
        </w:rPr>
        <w:t>. W: G. </w:t>
      </w:r>
      <w:proofErr w:type="spellStart"/>
      <w:r w:rsidRPr="00676849">
        <w:rPr>
          <w:lang w:val="en-US"/>
        </w:rPr>
        <w:t>Schraw</w:t>
      </w:r>
      <w:proofErr w:type="spellEnd"/>
      <w:r w:rsidRPr="00676849">
        <w:rPr>
          <w:lang w:val="en-US"/>
        </w:rPr>
        <w:t xml:space="preserve"> (red.), </w:t>
      </w:r>
      <w:r w:rsidRPr="00676849">
        <w:rPr>
          <w:i/>
          <w:lang w:val="en-US"/>
        </w:rPr>
        <w:t>Issues in the measurement of metacognition</w:t>
      </w:r>
      <w:r w:rsidRPr="00676849">
        <w:rPr>
          <w:lang w:val="en-US"/>
        </w:rPr>
        <w:t xml:space="preserve">. Lincoln NE: </w:t>
      </w:r>
      <w:proofErr w:type="spellStart"/>
      <w:r w:rsidRPr="00676849">
        <w:rPr>
          <w:lang w:val="en-US"/>
        </w:rPr>
        <w:t>Buros</w:t>
      </w:r>
      <w:proofErr w:type="spellEnd"/>
      <w:r w:rsidRPr="00676849">
        <w:rPr>
          <w:lang w:val="en-US"/>
        </w:rPr>
        <w:t xml:space="preserve"> Institute of Mental Measurements and Erlbaum Associates.</w:t>
      </w:r>
    </w:p>
    <w:p w:rsidR="00B3075F" w:rsidRPr="00676849" w:rsidRDefault="00B3075F" w:rsidP="00B3075F">
      <w:pPr>
        <w:spacing w:after="120"/>
        <w:ind w:left="720" w:hanging="720"/>
        <w:jc w:val="left"/>
        <w:rPr>
          <w:lang w:val="en-US"/>
        </w:rPr>
      </w:pPr>
      <w:proofErr w:type="gramStart"/>
      <w:r w:rsidRPr="00676849">
        <w:rPr>
          <w:lang w:val="en-US"/>
        </w:rPr>
        <w:t xml:space="preserve">Tobias, S., Everson, H., </w:t>
      </w:r>
      <w:proofErr w:type="spellStart"/>
      <w:r w:rsidRPr="00676849">
        <w:rPr>
          <w:lang w:val="en-US"/>
        </w:rPr>
        <w:t>Laitusis</w:t>
      </w:r>
      <w:proofErr w:type="spellEnd"/>
      <w:r w:rsidRPr="00676849">
        <w:rPr>
          <w:lang w:val="en-US"/>
        </w:rPr>
        <w:t>, V. (1999).</w:t>
      </w:r>
      <w:proofErr w:type="gramEnd"/>
      <w:r w:rsidRPr="00676849">
        <w:rPr>
          <w:lang w:val="en-US"/>
        </w:rPr>
        <w:t xml:space="preserve"> </w:t>
      </w:r>
      <w:r w:rsidRPr="00676849">
        <w:rPr>
          <w:i/>
          <w:lang w:val="en-US"/>
        </w:rPr>
        <w:t>Toward a performance-</w:t>
      </w:r>
      <w:proofErr w:type="spellStart"/>
      <w:r w:rsidRPr="00676849">
        <w:rPr>
          <w:i/>
          <w:lang w:val="en-US"/>
        </w:rPr>
        <w:t>basedmeasure</w:t>
      </w:r>
      <w:proofErr w:type="spellEnd"/>
      <w:r w:rsidRPr="00676849">
        <w:rPr>
          <w:i/>
          <w:lang w:val="en-US"/>
        </w:rPr>
        <w:t xml:space="preserve"> of metacognitive knowledge monitoring: Relationships with self-reports and behavior ratings.</w:t>
      </w:r>
      <w:r w:rsidRPr="00676849">
        <w:rPr>
          <w:lang w:val="en-US"/>
        </w:rPr>
        <w:t xml:space="preserve"> </w:t>
      </w:r>
      <w:proofErr w:type="gramStart"/>
      <w:r w:rsidRPr="00676849">
        <w:rPr>
          <w:lang w:val="en-US"/>
        </w:rPr>
        <w:t>American Educational Research Association, Montreal.</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gramStart"/>
      <w:r w:rsidRPr="00676849">
        <w:rPr>
          <w:rFonts w:eastAsia="Times New Roman"/>
          <w:kern w:val="0"/>
          <w:lang w:val="en-US" w:eastAsia="pl-PL"/>
        </w:rPr>
        <w:t xml:space="preserve">Trowbridge, J.E. </w:t>
      </w:r>
      <w:proofErr w:type="spellStart"/>
      <w:r w:rsidRPr="00676849">
        <w:rPr>
          <w:rFonts w:eastAsia="Times New Roman"/>
          <w:kern w:val="0"/>
          <w:lang w:val="en-US" w:eastAsia="pl-PL"/>
        </w:rPr>
        <w:t>Wandersee</w:t>
      </w:r>
      <w:proofErr w:type="spellEnd"/>
      <w:r w:rsidRPr="00676849">
        <w:rPr>
          <w:rFonts w:eastAsia="Times New Roman"/>
          <w:kern w:val="0"/>
          <w:lang w:val="en-US" w:eastAsia="pl-PL"/>
        </w:rPr>
        <w:t>, J. H. (1994).</w:t>
      </w:r>
      <w:proofErr w:type="gramEnd"/>
      <w:r w:rsidRPr="00676849">
        <w:rPr>
          <w:rFonts w:eastAsia="Times New Roman"/>
          <w:kern w:val="0"/>
          <w:lang w:val="en-US" w:eastAsia="pl-PL"/>
        </w:rPr>
        <w:t xml:space="preserve"> </w:t>
      </w:r>
      <w:r w:rsidRPr="00676849">
        <w:rPr>
          <w:rFonts w:eastAsia="Times New Roman"/>
          <w:i/>
          <w:kern w:val="0"/>
          <w:lang w:val="en-US" w:eastAsia="pl-PL"/>
        </w:rPr>
        <w:t>Identifying critical junctures in learning in a college course on evolution. Special Issue: The teaching and learning of biological evolution.</w:t>
      </w:r>
      <w:r w:rsidRPr="00676849">
        <w:rPr>
          <w:rFonts w:eastAsia="Times New Roman"/>
          <w:kern w:val="0"/>
          <w:lang w:val="en-US" w:eastAsia="pl-PL"/>
        </w:rPr>
        <w:t xml:space="preserve"> </w:t>
      </w:r>
      <w:proofErr w:type="gramStart"/>
      <w:r w:rsidRPr="00676849">
        <w:rPr>
          <w:rFonts w:eastAsia="Times New Roman"/>
          <w:kern w:val="0"/>
          <w:lang w:val="en-US" w:eastAsia="pl-PL"/>
        </w:rPr>
        <w:t>Journal of Research in Science Teaching 31 (5).</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Tsai, C</w:t>
      </w:r>
      <w:proofErr w:type="gramStart"/>
      <w:r w:rsidRPr="00676849">
        <w:rPr>
          <w:rFonts w:eastAsia="Times New Roman"/>
          <w:kern w:val="0"/>
          <w:lang w:val="en-US" w:eastAsia="pl-PL"/>
        </w:rPr>
        <w:t>.-</w:t>
      </w:r>
      <w:proofErr w:type="gramEnd"/>
      <w:r w:rsidRPr="00676849">
        <w:rPr>
          <w:rFonts w:eastAsia="Times New Roman"/>
          <w:kern w:val="0"/>
          <w:lang w:val="en-US" w:eastAsia="pl-PL"/>
        </w:rPr>
        <w:t xml:space="preserve">C. (1998). </w:t>
      </w:r>
      <w:proofErr w:type="gramStart"/>
      <w:r w:rsidRPr="00676849">
        <w:rPr>
          <w:rFonts w:eastAsia="Times New Roman"/>
          <w:i/>
          <w:kern w:val="0"/>
          <w:lang w:val="en-US" w:eastAsia="pl-PL"/>
        </w:rPr>
        <w:t>Science learning and constructivism</w:t>
      </w:r>
      <w:r w:rsidRPr="00676849">
        <w:rPr>
          <w:rFonts w:eastAsia="Times New Roman"/>
          <w:kern w:val="0"/>
          <w:lang w:val="en-US" w:eastAsia="pl-PL"/>
        </w:rPr>
        <w:t>.</w:t>
      </w:r>
      <w:proofErr w:type="gramEnd"/>
      <w:r w:rsidRPr="00676849">
        <w:rPr>
          <w:rFonts w:eastAsia="Times New Roman"/>
          <w:kern w:val="0"/>
          <w:lang w:val="en-US" w:eastAsia="pl-PL"/>
        </w:rPr>
        <w:t xml:space="preserve"> </w:t>
      </w:r>
      <w:proofErr w:type="gramStart"/>
      <w:r w:rsidRPr="00676849">
        <w:rPr>
          <w:rFonts w:eastAsia="Times New Roman"/>
          <w:kern w:val="0"/>
          <w:lang w:val="en-US" w:eastAsia="pl-PL"/>
        </w:rPr>
        <w:t>Curriculum and Teaching, 13.</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Tsai, C</w:t>
      </w:r>
      <w:proofErr w:type="gramStart"/>
      <w:r w:rsidRPr="00676849">
        <w:rPr>
          <w:rFonts w:eastAsia="Times New Roman"/>
          <w:kern w:val="0"/>
          <w:lang w:val="en-US" w:eastAsia="pl-PL"/>
        </w:rPr>
        <w:t>.-</w:t>
      </w:r>
      <w:proofErr w:type="gramEnd"/>
      <w:r w:rsidRPr="00676849">
        <w:rPr>
          <w:rFonts w:eastAsia="Times New Roman"/>
          <w:kern w:val="0"/>
          <w:lang w:val="en-US" w:eastAsia="pl-PL"/>
        </w:rPr>
        <w:t xml:space="preserve">C. (2000). </w:t>
      </w:r>
      <w:proofErr w:type="gramStart"/>
      <w:r w:rsidRPr="00676849">
        <w:rPr>
          <w:rFonts w:eastAsia="Times New Roman"/>
          <w:i/>
          <w:kern w:val="0"/>
          <w:lang w:val="en-US" w:eastAsia="pl-PL"/>
        </w:rPr>
        <w:t>Relationships between student scientific epistemological beliefs and perceptions of constructivist learning environments</w:t>
      </w:r>
      <w:r w:rsidRPr="00676849">
        <w:rPr>
          <w:rFonts w:eastAsia="Times New Roman"/>
          <w:kern w:val="0"/>
          <w:lang w:val="en-US" w:eastAsia="pl-PL"/>
        </w:rPr>
        <w:t>.</w:t>
      </w:r>
      <w:proofErr w:type="gramEnd"/>
      <w:r w:rsidRPr="00676849">
        <w:rPr>
          <w:rFonts w:eastAsia="Times New Roman"/>
          <w:kern w:val="0"/>
          <w:lang w:val="en-US" w:eastAsia="pl-PL"/>
        </w:rPr>
        <w:t xml:space="preserve"> </w:t>
      </w:r>
      <w:proofErr w:type="gramStart"/>
      <w:r w:rsidRPr="00676849">
        <w:rPr>
          <w:rFonts w:eastAsia="Times New Roman"/>
          <w:kern w:val="0"/>
          <w:lang w:val="en-US" w:eastAsia="pl-PL"/>
        </w:rPr>
        <w:t>Educational Research, 42.</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spellStart"/>
      <w:proofErr w:type="gramStart"/>
      <w:r w:rsidRPr="00676849">
        <w:rPr>
          <w:rFonts w:eastAsia="Times New Roman"/>
          <w:kern w:val="0"/>
          <w:lang w:val="en-US" w:eastAsia="pl-PL"/>
        </w:rPr>
        <w:t>Trwobridge</w:t>
      </w:r>
      <w:proofErr w:type="spellEnd"/>
      <w:r w:rsidRPr="00676849">
        <w:rPr>
          <w:rFonts w:eastAsia="Times New Roman"/>
          <w:kern w:val="0"/>
          <w:lang w:val="en-US" w:eastAsia="pl-PL"/>
        </w:rPr>
        <w:t xml:space="preserve">, J. E. </w:t>
      </w:r>
      <w:proofErr w:type="spellStart"/>
      <w:r w:rsidRPr="00676849">
        <w:rPr>
          <w:rFonts w:eastAsia="Times New Roman"/>
          <w:kern w:val="0"/>
          <w:lang w:val="en-US" w:eastAsia="pl-PL"/>
        </w:rPr>
        <w:t>Wandersee</w:t>
      </w:r>
      <w:proofErr w:type="spellEnd"/>
      <w:r w:rsidRPr="00676849">
        <w:rPr>
          <w:rFonts w:eastAsia="Times New Roman"/>
          <w:kern w:val="0"/>
          <w:lang w:val="en-US" w:eastAsia="pl-PL"/>
        </w:rPr>
        <w:t>, J. H. (1994).</w:t>
      </w:r>
      <w:proofErr w:type="gramEnd"/>
      <w:r w:rsidRPr="00676849">
        <w:rPr>
          <w:rFonts w:eastAsia="Times New Roman"/>
          <w:kern w:val="0"/>
          <w:lang w:val="en-US" w:eastAsia="pl-PL"/>
        </w:rPr>
        <w:t xml:space="preserve"> </w:t>
      </w:r>
      <w:r w:rsidRPr="00676849">
        <w:rPr>
          <w:rFonts w:eastAsia="Times New Roman"/>
          <w:i/>
          <w:kern w:val="0"/>
          <w:lang w:val="en-US" w:eastAsia="pl-PL"/>
        </w:rPr>
        <w:t>Identifying Critical Junctures in Learning in a College course on Evolution.</w:t>
      </w:r>
      <w:r w:rsidRPr="00676849">
        <w:rPr>
          <w:rFonts w:eastAsia="Times New Roman"/>
          <w:kern w:val="0"/>
          <w:lang w:val="en-US" w:eastAsia="pl-PL"/>
        </w:rPr>
        <w:t xml:space="preserve"> </w:t>
      </w:r>
      <w:proofErr w:type="gramStart"/>
      <w:r w:rsidRPr="00676849">
        <w:rPr>
          <w:rFonts w:eastAsia="Times New Roman"/>
          <w:iCs/>
          <w:kern w:val="0"/>
          <w:lang w:val="en-US" w:eastAsia="pl-PL"/>
        </w:rPr>
        <w:t>Journal of Research in Science Teaching</w:t>
      </w:r>
      <w:r w:rsidRPr="00676849">
        <w:rPr>
          <w:rFonts w:eastAsia="Times New Roman"/>
          <w:kern w:val="0"/>
          <w:lang w:val="en-US" w:eastAsia="pl-PL"/>
        </w:rPr>
        <w:t>, 31(5).</w:t>
      </w:r>
      <w:proofErr w:type="gramEnd"/>
    </w:p>
    <w:p w:rsidR="00B3075F" w:rsidRPr="00676849" w:rsidRDefault="00B3075F" w:rsidP="00B3075F">
      <w:pPr>
        <w:widowControl/>
        <w:suppressAutoHyphens w:val="0"/>
        <w:spacing w:after="120"/>
        <w:ind w:left="720" w:hanging="720"/>
        <w:jc w:val="left"/>
        <w:rPr>
          <w:rFonts w:eastAsia="Times New Roman"/>
          <w:kern w:val="0"/>
          <w:lang w:val="en-US" w:eastAsia="pl-PL"/>
        </w:rPr>
      </w:pPr>
      <w:proofErr w:type="gramStart"/>
      <w:r w:rsidRPr="00676849">
        <w:rPr>
          <w:rFonts w:eastAsia="Times New Roman"/>
          <w:kern w:val="0"/>
          <w:lang w:val="en-US" w:eastAsia="pl-PL"/>
        </w:rPr>
        <w:t xml:space="preserve">Weinstein, C. E., Mayer, R. F. (1986) </w:t>
      </w:r>
      <w:r w:rsidRPr="00676849">
        <w:rPr>
          <w:rFonts w:eastAsia="Times New Roman"/>
          <w:i/>
          <w:kern w:val="0"/>
          <w:lang w:val="en-US" w:eastAsia="pl-PL"/>
        </w:rPr>
        <w:t>The teaching of learning strategies</w:t>
      </w:r>
      <w:r w:rsidRPr="00676849">
        <w:rPr>
          <w:rFonts w:eastAsia="Times New Roman"/>
          <w:kern w:val="0"/>
          <w:lang w:val="en-US" w:eastAsia="pl-PL"/>
        </w:rPr>
        <w:t>.</w:t>
      </w:r>
      <w:proofErr w:type="gramEnd"/>
      <w:r w:rsidRPr="00676849">
        <w:rPr>
          <w:rFonts w:eastAsia="Times New Roman"/>
          <w:kern w:val="0"/>
          <w:lang w:val="en-US" w:eastAsia="pl-PL"/>
        </w:rPr>
        <w:t xml:space="preserve"> W: M. C. </w:t>
      </w:r>
      <w:proofErr w:type="spellStart"/>
      <w:r w:rsidRPr="00676849">
        <w:rPr>
          <w:rFonts w:eastAsia="Times New Roman"/>
          <w:kern w:val="0"/>
          <w:lang w:val="en-US" w:eastAsia="pl-PL"/>
        </w:rPr>
        <w:t>Wittrock</w:t>
      </w:r>
      <w:proofErr w:type="spellEnd"/>
      <w:r w:rsidRPr="00676849">
        <w:rPr>
          <w:rFonts w:eastAsia="Times New Roman"/>
          <w:kern w:val="0"/>
          <w:lang w:val="en-US" w:eastAsia="pl-PL"/>
        </w:rPr>
        <w:t xml:space="preserve"> (red.), </w:t>
      </w:r>
      <w:r w:rsidRPr="00676849">
        <w:rPr>
          <w:rFonts w:eastAsia="Times New Roman"/>
          <w:i/>
          <w:iCs/>
          <w:kern w:val="0"/>
          <w:lang w:val="en-US" w:eastAsia="pl-PL"/>
        </w:rPr>
        <w:t xml:space="preserve">Handbook of Research on Teaching </w:t>
      </w:r>
      <w:r w:rsidRPr="00676849">
        <w:rPr>
          <w:rFonts w:eastAsia="Times New Roman"/>
          <w:kern w:val="0"/>
          <w:lang w:val="en-US" w:eastAsia="pl-PL"/>
        </w:rPr>
        <w:t>(str.315-327). New York: Macmillan.</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kern w:val="0"/>
          <w:lang w:val="en-US" w:eastAsia="pl-PL"/>
        </w:rPr>
        <w:t xml:space="preserve">Wellman, H.M. (1985). </w:t>
      </w:r>
      <w:proofErr w:type="gramStart"/>
      <w:r w:rsidRPr="00676849">
        <w:rPr>
          <w:rFonts w:eastAsia="Times New Roman"/>
          <w:i/>
          <w:kern w:val="0"/>
          <w:lang w:val="en-US" w:eastAsia="pl-PL"/>
        </w:rPr>
        <w:t>The origins of metacognition</w:t>
      </w:r>
      <w:r w:rsidRPr="00676849">
        <w:rPr>
          <w:rFonts w:eastAsia="Times New Roman"/>
          <w:kern w:val="0"/>
          <w:lang w:val="en-US" w:eastAsia="pl-PL"/>
        </w:rPr>
        <w:t>.</w:t>
      </w:r>
      <w:proofErr w:type="gramEnd"/>
      <w:r w:rsidRPr="00676849">
        <w:rPr>
          <w:rFonts w:eastAsia="Times New Roman"/>
          <w:kern w:val="0"/>
          <w:lang w:val="en-US" w:eastAsia="pl-PL"/>
        </w:rPr>
        <w:t xml:space="preserve"> W: D.L. Forrest-Pressley, G.E. MacKinnon, T.G. Waller (red.), </w:t>
      </w:r>
      <w:r w:rsidRPr="00676849">
        <w:rPr>
          <w:rFonts w:eastAsia="Times New Roman"/>
          <w:i/>
          <w:iCs/>
          <w:kern w:val="0"/>
          <w:lang w:val="en-US" w:eastAsia="pl-PL"/>
        </w:rPr>
        <w:t xml:space="preserve">Metacognition, Cognition and Human Performance </w:t>
      </w:r>
      <w:r w:rsidRPr="00676849">
        <w:rPr>
          <w:rFonts w:eastAsia="Times New Roman"/>
          <w:kern w:val="0"/>
          <w:lang w:val="en-US" w:eastAsia="pl-PL"/>
        </w:rPr>
        <w:t>(t. 1, str.1-31). Orlando, FL: Academic Press.</w:t>
      </w:r>
    </w:p>
    <w:p w:rsidR="00B3075F" w:rsidRPr="00676849" w:rsidRDefault="00B3075F" w:rsidP="00B3075F">
      <w:pPr>
        <w:widowControl/>
        <w:suppressAutoHyphens w:val="0"/>
        <w:spacing w:after="120"/>
        <w:ind w:left="720" w:hanging="720"/>
        <w:jc w:val="left"/>
        <w:rPr>
          <w:rFonts w:eastAsia="Times New Roman"/>
          <w:kern w:val="0"/>
          <w:lang w:val="en-US" w:eastAsia="pl-PL"/>
        </w:rPr>
      </w:pPr>
      <w:r w:rsidRPr="00676849">
        <w:rPr>
          <w:rFonts w:eastAsia="Times New Roman"/>
          <w:color w:val="292526"/>
          <w:kern w:val="0"/>
          <w:lang w:val="en-US" w:eastAsia="pl-PL"/>
        </w:rPr>
        <w:t xml:space="preserve">White, R.T. (1988). White, R.T. (1988). </w:t>
      </w:r>
      <w:r w:rsidRPr="00676849">
        <w:rPr>
          <w:rFonts w:eastAsia="Times New Roman"/>
          <w:i/>
          <w:color w:val="292526"/>
          <w:kern w:val="0"/>
          <w:lang w:val="en-US" w:eastAsia="pl-PL"/>
        </w:rPr>
        <w:t>Metacognition</w:t>
      </w:r>
      <w:r w:rsidRPr="00676849">
        <w:rPr>
          <w:rFonts w:eastAsia="Times New Roman"/>
          <w:color w:val="292526"/>
          <w:kern w:val="0"/>
          <w:lang w:val="en-US" w:eastAsia="pl-PL"/>
        </w:rPr>
        <w:t xml:space="preserve">. W: J.P. Keeves (red.), </w:t>
      </w:r>
      <w:r w:rsidRPr="00676849">
        <w:rPr>
          <w:rFonts w:eastAsia="Times New Roman"/>
          <w:i/>
          <w:iCs/>
          <w:color w:val="292526"/>
          <w:kern w:val="0"/>
          <w:lang w:val="en-US" w:eastAsia="pl-PL"/>
        </w:rPr>
        <w:t xml:space="preserve">Educational research, methodology, and measurement </w:t>
      </w:r>
      <w:r w:rsidRPr="00676849">
        <w:rPr>
          <w:rFonts w:eastAsia="Times New Roman"/>
          <w:color w:val="292526"/>
          <w:kern w:val="0"/>
          <w:lang w:val="en-US" w:eastAsia="pl-PL"/>
        </w:rPr>
        <w:t xml:space="preserve">(str. 70–75). Sydney: </w:t>
      </w:r>
      <w:proofErr w:type="spellStart"/>
      <w:r w:rsidRPr="00676849">
        <w:rPr>
          <w:rFonts w:eastAsia="Times New Roman"/>
          <w:color w:val="292526"/>
          <w:kern w:val="0"/>
          <w:lang w:val="en-US" w:eastAsia="pl-PL"/>
        </w:rPr>
        <w:t>Pergamon</w:t>
      </w:r>
      <w:proofErr w:type="spellEnd"/>
      <w:r w:rsidRPr="00676849">
        <w:rPr>
          <w:rFonts w:eastAsia="Times New Roman"/>
          <w:color w:val="292526"/>
          <w:kern w:val="0"/>
          <w:lang w:val="en-US" w:eastAsia="pl-PL"/>
        </w:rPr>
        <w:t xml:space="preserve"> Press.</w:t>
      </w:r>
    </w:p>
    <w:p w:rsidR="00B3075F" w:rsidRPr="00676849" w:rsidRDefault="00B3075F" w:rsidP="00B3075F">
      <w:pPr>
        <w:widowControl/>
        <w:suppressAutoHyphens w:val="0"/>
        <w:spacing w:after="120"/>
        <w:ind w:left="720" w:hanging="720"/>
        <w:jc w:val="left"/>
        <w:rPr>
          <w:rFonts w:eastAsia="Times New Roman"/>
          <w:kern w:val="0"/>
          <w:lang w:eastAsia="pl-PL"/>
        </w:rPr>
      </w:pPr>
      <w:proofErr w:type="spellStart"/>
      <w:r w:rsidRPr="00676849">
        <w:rPr>
          <w:rFonts w:eastAsia="Times New Roman"/>
          <w:kern w:val="0"/>
          <w:lang w:val="en-US" w:eastAsia="pl-PL"/>
        </w:rPr>
        <w:t>Winne</w:t>
      </w:r>
      <w:proofErr w:type="spellEnd"/>
      <w:r w:rsidRPr="00676849">
        <w:rPr>
          <w:rFonts w:eastAsia="Times New Roman"/>
          <w:kern w:val="0"/>
          <w:lang w:val="en-US" w:eastAsia="pl-PL"/>
        </w:rPr>
        <w:t xml:space="preserve">, P. H. (1995). </w:t>
      </w:r>
      <w:proofErr w:type="gramStart"/>
      <w:r w:rsidRPr="00676849">
        <w:rPr>
          <w:rFonts w:eastAsia="Times New Roman"/>
          <w:i/>
          <w:kern w:val="0"/>
          <w:lang w:val="en-US" w:eastAsia="pl-PL"/>
        </w:rPr>
        <w:t>A metacognitive view of individual differences in self-regulated learning</w:t>
      </w:r>
      <w:r w:rsidRPr="00676849">
        <w:rPr>
          <w:rFonts w:eastAsia="Times New Roman"/>
          <w:kern w:val="0"/>
          <w:lang w:val="en-US" w:eastAsia="pl-PL"/>
        </w:rPr>
        <w:t>.</w:t>
      </w:r>
      <w:proofErr w:type="gramEnd"/>
      <w:r w:rsidRPr="00676849">
        <w:rPr>
          <w:rFonts w:eastAsia="Times New Roman"/>
          <w:kern w:val="0"/>
          <w:lang w:val="en-US" w:eastAsia="pl-PL"/>
        </w:rPr>
        <w:t xml:space="preserve"> </w:t>
      </w:r>
      <w:r w:rsidRPr="00676849">
        <w:rPr>
          <w:rFonts w:eastAsia="Times New Roman"/>
          <w:iCs/>
          <w:kern w:val="0"/>
          <w:lang w:eastAsia="pl-PL"/>
        </w:rPr>
        <w:t xml:space="preserve">Learning and </w:t>
      </w:r>
      <w:proofErr w:type="spellStart"/>
      <w:r w:rsidRPr="00676849">
        <w:rPr>
          <w:rFonts w:eastAsia="Times New Roman"/>
          <w:iCs/>
          <w:kern w:val="0"/>
          <w:lang w:eastAsia="pl-PL"/>
        </w:rPr>
        <w:t>Individual</w:t>
      </w:r>
      <w:proofErr w:type="spellEnd"/>
      <w:r w:rsidRPr="00676849">
        <w:rPr>
          <w:rFonts w:eastAsia="Times New Roman"/>
          <w:iCs/>
          <w:kern w:val="0"/>
          <w:lang w:eastAsia="pl-PL"/>
        </w:rPr>
        <w:t xml:space="preserve"> </w:t>
      </w:r>
      <w:proofErr w:type="spellStart"/>
      <w:r w:rsidRPr="00676849">
        <w:rPr>
          <w:rFonts w:eastAsia="Times New Roman"/>
          <w:iCs/>
          <w:kern w:val="0"/>
          <w:lang w:eastAsia="pl-PL"/>
        </w:rPr>
        <w:t>Differences</w:t>
      </w:r>
      <w:proofErr w:type="spellEnd"/>
      <w:r w:rsidRPr="00676849">
        <w:rPr>
          <w:rFonts w:eastAsia="Times New Roman"/>
          <w:iCs/>
          <w:kern w:val="0"/>
          <w:lang w:eastAsia="pl-PL"/>
        </w:rPr>
        <w:t>, 8</w:t>
      </w:r>
      <w:r w:rsidRPr="00676849">
        <w:rPr>
          <w:rFonts w:eastAsia="Times New Roman"/>
          <w:kern w:val="0"/>
          <w:lang w:eastAsia="pl-PL"/>
        </w:rPr>
        <w:t>.</w:t>
      </w:r>
    </w:p>
    <w:p w:rsidR="00B3075F" w:rsidRPr="00676849" w:rsidRDefault="00B3075F" w:rsidP="00B3075F">
      <w:pPr>
        <w:widowControl/>
        <w:suppressAutoHyphens w:val="0"/>
        <w:spacing w:after="120"/>
        <w:ind w:left="720" w:hanging="720"/>
        <w:jc w:val="left"/>
        <w:rPr>
          <w:rFonts w:eastAsia="Times New Roman"/>
          <w:kern w:val="0"/>
          <w:lang w:eastAsia="pl-PL"/>
        </w:rPr>
      </w:pPr>
      <w:proofErr w:type="spellStart"/>
      <w:r w:rsidRPr="00676849">
        <w:rPr>
          <w:rFonts w:eastAsia="Times New Roman"/>
          <w:kern w:val="0"/>
          <w:lang w:eastAsia="pl-PL"/>
        </w:rPr>
        <w:t>Wygotski</w:t>
      </w:r>
      <w:proofErr w:type="spellEnd"/>
      <w:r w:rsidRPr="00676849">
        <w:rPr>
          <w:rFonts w:eastAsia="Times New Roman"/>
          <w:kern w:val="0"/>
          <w:lang w:eastAsia="pl-PL"/>
        </w:rPr>
        <w:t xml:space="preserve">, L. S. (1978). </w:t>
      </w:r>
      <w:r w:rsidRPr="00676849">
        <w:rPr>
          <w:rFonts w:eastAsia="Times New Roman"/>
          <w:i/>
          <w:kern w:val="0"/>
          <w:lang w:eastAsia="pl-PL"/>
        </w:rPr>
        <w:t>Narzędzie i znak w rozwoju dziecka</w:t>
      </w:r>
      <w:r w:rsidRPr="00676849">
        <w:rPr>
          <w:rFonts w:eastAsia="Times New Roman"/>
          <w:kern w:val="0"/>
          <w:lang w:eastAsia="pl-PL"/>
        </w:rPr>
        <w:t>. Warszawa: PWN.</w:t>
      </w:r>
    </w:p>
    <w:p w:rsidR="00B3075F" w:rsidRPr="004D0940" w:rsidRDefault="00B3075F" w:rsidP="00B3075F">
      <w:pPr>
        <w:spacing w:after="120"/>
        <w:ind w:left="720" w:hanging="720"/>
      </w:pPr>
    </w:p>
    <w:p w:rsidR="00F50915" w:rsidRDefault="00F50915"/>
    <w:sectPr w:rsidR="00F50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vSTP_PSTimR">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F3F"/>
    <w:multiLevelType w:val="multilevel"/>
    <w:tmpl w:val="5AA27060"/>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A90655D"/>
    <w:multiLevelType w:val="hybridMultilevel"/>
    <w:tmpl w:val="09FEB22C"/>
    <w:lvl w:ilvl="0" w:tplc="9894D922">
      <w:start w:val="1"/>
      <w:numFmt w:val="bullet"/>
      <w:pStyle w:val="StylPunktowane"/>
      <w:lvlText w:val=""/>
      <w:lvlJc w:val="left"/>
      <w:pPr>
        <w:tabs>
          <w:tab w:val="num" w:pos="-351"/>
        </w:tabs>
        <w:ind w:left="-351" w:hanging="360"/>
      </w:pPr>
      <w:rPr>
        <w:rFonts w:ascii="Symbol" w:hAnsi="Symbol" w:hint="default"/>
      </w:rPr>
    </w:lvl>
    <w:lvl w:ilvl="1" w:tplc="04150001">
      <w:start w:val="1"/>
      <w:numFmt w:val="bullet"/>
      <w:lvlText w:val=""/>
      <w:lvlJc w:val="left"/>
      <w:pPr>
        <w:tabs>
          <w:tab w:val="num" w:pos="369"/>
        </w:tabs>
        <w:ind w:left="369" w:hanging="360"/>
      </w:pPr>
      <w:rPr>
        <w:rFonts w:ascii="Symbol" w:hAnsi="Symbol" w:hint="default"/>
      </w:rPr>
    </w:lvl>
    <w:lvl w:ilvl="2" w:tplc="04150005">
      <w:start w:val="1"/>
      <w:numFmt w:val="bullet"/>
      <w:lvlText w:val=""/>
      <w:lvlJc w:val="left"/>
      <w:pPr>
        <w:tabs>
          <w:tab w:val="num" w:pos="1089"/>
        </w:tabs>
        <w:ind w:left="1089" w:hanging="360"/>
      </w:pPr>
      <w:rPr>
        <w:rFonts w:ascii="Wingdings" w:hAnsi="Wingdings" w:hint="default"/>
      </w:rPr>
    </w:lvl>
    <w:lvl w:ilvl="3" w:tplc="04150001">
      <w:start w:val="1"/>
      <w:numFmt w:val="bullet"/>
      <w:lvlText w:val=""/>
      <w:lvlJc w:val="left"/>
      <w:pPr>
        <w:tabs>
          <w:tab w:val="num" w:pos="1809"/>
        </w:tabs>
        <w:ind w:left="1809" w:hanging="360"/>
      </w:pPr>
      <w:rPr>
        <w:rFonts w:ascii="Symbol" w:hAnsi="Symbol" w:hint="default"/>
      </w:rPr>
    </w:lvl>
    <w:lvl w:ilvl="4" w:tplc="04150003" w:tentative="1">
      <w:start w:val="1"/>
      <w:numFmt w:val="bullet"/>
      <w:lvlText w:val="o"/>
      <w:lvlJc w:val="left"/>
      <w:pPr>
        <w:tabs>
          <w:tab w:val="num" w:pos="2529"/>
        </w:tabs>
        <w:ind w:left="2529" w:hanging="360"/>
      </w:pPr>
      <w:rPr>
        <w:rFonts w:ascii="Courier New" w:hAnsi="Courier New" w:cs="Courier New" w:hint="default"/>
      </w:rPr>
    </w:lvl>
    <w:lvl w:ilvl="5" w:tplc="04150005" w:tentative="1">
      <w:start w:val="1"/>
      <w:numFmt w:val="bullet"/>
      <w:lvlText w:val=""/>
      <w:lvlJc w:val="left"/>
      <w:pPr>
        <w:tabs>
          <w:tab w:val="num" w:pos="3249"/>
        </w:tabs>
        <w:ind w:left="3249" w:hanging="360"/>
      </w:pPr>
      <w:rPr>
        <w:rFonts w:ascii="Wingdings" w:hAnsi="Wingdings" w:hint="default"/>
      </w:rPr>
    </w:lvl>
    <w:lvl w:ilvl="6" w:tplc="04150001" w:tentative="1">
      <w:start w:val="1"/>
      <w:numFmt w:val="bullet"/>
      <w:lvlText w:val=""/>
      <w:lvlJc w:val="left"/>
      <w:pPr>
        <w:tabs>
          <w:tab w:val="num" w:pos="3969"/>
        </w:tabs>
        <w:ind w:left="3969" w:hanging="360"/>
      </w:pPr>
      <w:rPr>
        <w:rFonts w:ascii="Symbol" w:hAnsi="Symbol" w:hint="default"/>
      </w:rPr>
    </w:lvl>
    <w:lvl w:ilvl="7" w:tplc="04150003" w:tentative="1">
      <w:start w:val="1"/>
      <w:numFmt w:val="bullet"/>
      <w:lvlText w:val="o"/>
      <w:lvlJc w:val="left"/>
      <w:pPr>
        <w:tabs>
          <w:tab w:val="num" w:pos="4689"/>
        </w:tabs>
        <w:ind w:left="4689" w:hanging="360"/>
      </w:pPr>
      <w:rPr>
        <w:rFonts w:ascii="Courier New" w:hAnsi="Courier New" w:cs="Courier New" w:hint="default"/>
      </w:rPr>
    </w:lvl>
    <w:lvl w:ilvl="8" w:tplc="04150005" w:tentative="1">
      <w:start w:val="1"/>
      <w:numFmt w:val="bullet"/>
      <w:lvlText w:val=""/>
      <w:lvlJc w:val="left"/>
      <w:pPr>
        <w:tabs>
          <w:tab w:val="num" w:pos="5409"/>
        </w:tabs>
        <w:ind w:left="5409" w:hanging="360"/>
      </w:pPr>
      <w:rPr>
        <w:rFonts w:ascii="Wingdings" w:hAnsi="Wingdings" w:hint="default"/>
      </w:rPr>
    </w:lvl>
  </w:abstractNum>
  <w:abstractNum w:abstractNumId="2">
    <w:nsid w:val="1477467B"/>
    <w:multiLevelType w:val="hybridMultilevel"/>
    <w:tmpl w:val="45B0F4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58B1E52"/>
    <w:multiLevelType w:val="hybridMultilevel"/>
    <w:tmpl w:val="CF9046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62677B0"/>
    <w:multiLevelType w:val="hybridMultilevel"/>
    <w:tmpl w:val="E60279E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A707196"/>
    <w:multiLevelType w:val="multilevel"/>
    <w:tmpl w:val="8D126E3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C2381A"/>
    <w:multiLevelType w:val="hybridMultilevel"/>
    <w:tmpl w:val="186C478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AFD16BB"/>
    <w:multiLevelType w:val="hybridMultilevel"/>
    <w:tmpl w:val="7CD8D4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E683533"/>
    <w:multiLevelType w:val="hybridMultilevel"/>
    <w:tmpl w:val="2D9627F4"/>
    <w:lvl w:ilvl="0" w:tplc="0415000F">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3864AE"/>
    <w:multiLevelType w:val="hybridMultilevel"/>
    <w:tmpl w:val="8D0A4D2A"/>
    <w:lvl w:ilvl="0" w:tplc="0415000F">
      <w:start w:val="1"/>
      <w:numFmt w:val="decimal"/>
      <w:lvlText w:val="%1."/>
      <w:lvlJc w:val="left"/>
      <w:pPr>
        <w:tabs>
          <w:tab w:val="num" w:pos="1571"/>
        </w:tabs>
        <w:ind w:left="1571" w:hanging="360"/>
      </w:p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0">
    <w:nsid w:val="2B533D67"/>
    <w:multiLevelType w:val="hybridMultilevel"/>
    <w:tmpl w:val="1A1613E4"/>
    <w:lvl w:ilvl="0" w:tplc="D608ABFA">
      <w:start w:val="4"/>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5F07A6"/>
    <w:multiLevelType w:val="multilevel"/>
    <w:tmpl w:val="871E1088"/>
    <w:lvl w:ilvl="0">
      <w:start w:val="1"/>
      <w:numFmt w:val="decimal"/>
      <w:lvlText w:val="%1."/>
      <w:lvlJc w:val="left"/>
      <w:pPr>
        <w:tabs>
          <w:tab w:val="num" w:pos="833"/>
        </w:tabs>
        <w:ind w:left="833" w:hanging="360"/>
      </w:pPr>
    </w:lvl>
    <w:lvl w:ilvl="1">
      <w:start w:val="1"/>
      <w:numFmt w:val="decimal"/>
      <w:lvlText w:val="%2."/>
      <w:lvlJc w:val="left"/>
      <w:pPr>
        <w:tabs>
          <w:tab w:val="num" w:pos="1553"/>
        </w:tabs>
        <w:ind w:left="1553" w:hanging="360"/>
      </w:pPr>
    </w:lvl>
    <w:lvl w:ilvl="2">
      <w:start w:val="1"/>
      <w:numFmt w:val="bullet"/>
      <w:lvlText w:val=""/>
      <w:lvlJc w:val="left"/>
      <w:pPr>
        <w:tabs>
          <w:tab w:val="num" w:pos="2453"/>
        </w:tabs>
        <w:ind w:left="2453" w:hanging="360"/>
      </w:pPr>
      <w:rPr>
        <w:rFonts w:ascii="Symbol" w:hAnsi="Symbol" w:hint="default"/>
      </w:rPr>
    </w:lvl>
    <w:lvl w:ilvl="3">
      <w:start w:val="1"/>
      <w:numFmt w:val="decimal"/>
      <w:lvlText w:val="%4"/>
      <w:lvlJc w:val="left"/>
      <w:pPr>
        <w:tabs>
          <w:tab w:val="num" w:pos="2993"/>
        </w:tabs>
        <w:ind w:left="2993"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7B1903"/>
    <w:multiLevelType w:val="hybridMultilevel"/>
    <w:tmpl w:val="ED8822F6"/>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DB87C2A"/>
    <w:multiLevelType w:val="hybridMultilevel"/>
    <w:tmpl w:val="16ECBDD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24B0327"/>
    <w:multiLevelType w:val="hybridMultilevel"/>
    <w:tmpl w:val="22CAE056"/>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553"/>
        </w:tabs>
        <w:ind w:left="1553" w:hanging="360"/>
      </w:pPr>
    </w:lvl>
    <w:lvl w:ilvl="2" w:tplc="04150001">
      <w:start w:val="1"/>
      <w:numFmt w:val="bullet"/>
      <w:lvlText w:val=""/>
      <w:lvlJc w:val="left"/>
      <w:pPr>
        <w:tabs>
          <w:tab w:val="num" w:pos="2453"/>
        </w:tabs>
        <w:ind w:left="2453" w:hanging="360"/>
      </w:pPr>
      <w:rPr>
        <w:rFonts w:ascii="Symbol" w:hAnsi="Symbol" w:hint="default"/>
      </w:rPr>
    </w:lvl>
    <w:lvl w:ilvl="3" w:tplc="AA96B91A">
      <w:start w:val="1"/>
      <w:numFmt w:val="decimal"/>
      <w:lvlText w:val="%4"/>
      <w:lvlJc w:val="left"/>
      <w:pPr>
        <w:tabs>
          <w:tab w:val="num" w:pos="2993"/>
        </w:tabs>
        <w:ind w:left="2993"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665422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FB0D5D"/>
    <w:multiLevelType w:val="hybridMultilevel"/>
    <w:tmpl w:val="D75A14B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3AF25FE"/>
    <w:multiLevelType w:val="hybridMultilevel"/>
    <w:tmpl w:val="871E1088"/>
    <w:lvl w:ilvl="0" w:tplc="0415000F">
      <w:start w:val="1"/>
      <w:numFmt w:val="decimal"/>
      <w:lvlText w:val="%1."/>
      <w:lvlJc w:val="left"/>
      <w:pPr>
        <w:tabs>
          <w:tab w:val="num" w:pos="833"/>
        </w:tabs>
        <w:ind w:left="833" w:hanging="360"/>
      </w:pPr>
    </w:lvl>
    <w:lvl w:ilvl="1" w:tplc="0415000F">
      <w:start w:val="1"/>
      <w:numFmt w:val="decimal"/>
      <w:lvlText w:val="%2."/>
      <w:lvlJc w:val="left"/>
      <w:pPr>
        <w:tabs>
          <w:tab w:val="num" w:pos="1553"/>
        </w:tabs>
        <w:ind w:left="1553" w:hanging="360"/>
      </w:pPr>
    </w:lvl>
    <w:lvl w:ilvl="2" w:tplc="04150001">
      <w:start w:val="1"/>
      <w:numFmt w:val="bullet"/>
      <w:lvlText w:val=""/>
      <w:lvlJc w:val="left"/>
      <w:pPr>
        <w:tabs>
          <w:tab w:val="num" w:pos="2453"/>
        </w:tabs>
        <w:ind w:left="2453" w:hanging="360"/>
      </w:pPr>
      <w:rPr>
        <w:rFonts w:ascii="Symbol" w:hAnsi="Symbol" w:hint="default"/>
      </w:rPr>
    </w:lvl>
    <w:lvl w:ilvl="3" w:tplc="AA96B91A">
      <w:start w:val="1"/>
      <w:numFmt w:val="decimal"/>
      <w:lvlText w:val="%4"/>
      <w:lvlJc w:val="left"/>
      <w:pPr>
        <w:tabs>
          <w:tab w:val="num" w:pos="2993"/>
        </w:tabs>
        <w:ind w:left="2993"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4D36D7E"/>
    <w:multiLevelType w:val="hybridMultilevel"/>
    <w:tmpl w:val="85440F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4D83414"/>
    <w:multiLevelType w:val="hybridMultilevel"/>
    <w:tmpl w:val="466AAB28"/>
    <w:lvl w:ilvl="0" w:tplc="0415000F">
      <w:start w:val="1"/>
      <w:numFmt w:val="decimal"/>
      <w:lvlText w:val="%1."/>
      <w:lvlJc w:val="left"/>
      <w:pPr>
        <w:tabs>
          <w:tab w:val="num" w:pos="1571"/>
        </w:tabs>
        <w:ind w:left="1571" w:hanging="360"/>
      </w:pPr>
    </w:lvl>
    <w:lvl w:ilvl="1" w:tplc="04150019">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0">
    <w:nsid w:val="59B52C2E"/>
    <w:multiLevelType w:val="hybridMultilevel"/>
    <w:tmpl w:val="254E70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D77785A"/>
    <w:multiLevelType w:val="hybridMultilevel"/>
    <w:tmpl w:val="D6727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05A32DD"/>
    <w:multiLevelType w:val="hybridMultilevel"/>
    <w:tmpl w:val="25D2334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647A5B5B"/>
    <w:multiLevelType w:val="multilevel"/>
    <w:tmpl w:val="2D9627F4"/>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5D4512F"/>
    <w:multiLevelType w:val="hybridMultilevel"/>
    <w:tmpl w:val="9B92B1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FBE1BAA"/>
    <w:multiLevelType w:val="hybridMultilevel"/>
    <w:tmpl w:val="727A39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31080"/>
    <w:multiLevelType w:val="hybridMultilevel"/>
    <w:tmpl w:val="88B0689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5C95E94"/>
    <w:multiLevelType w:val="hybridMultilevel"/>
    <w:tmpl w:val="5F0E2ABC"/>
    <w:lvl w:ilvl="0" w:tplc="0415000F">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9CD796F"/>
    <w:multiLevelType w:val="hybridMultilevel"/>
    <w:tmpl w:val="C65062DC"/>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473"/>
        </w:tabs>
        <w:ind w:left="473" w:hanging="360"/>
      </w:pPr>
    </w:lvl>
    <w:lvl w:ilvl="2" w:tplc="04150001">
      <w:start w:val="1"/>
      <w:numFmt w:val="bullet"/>
      <w:lvlText w:val=""/>
      <w:lvlJc w:val="left"/>
      <w:pPr>
        <w:tabs>
          <w:tab w:val="num" w:pos="1080"/>
        </w:tabs>
        <w:ind w:left="108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7C5C2729"/>
    <w:multiLevelType w:val="hybridMultilevel"/>
    <w:tmpl w:val="21286A0E"/>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20"/>
  </w:num>
  <w:num w:numId="4">
    <w:abstractNumId w:val="18"/>
  </w:num>
  <w:num w:numId="5">
    <w:abstractNumId w:val="21"/>
  </w:num>
  <w:num w:numId="6">
    <w:abstractNumId w:val="16"/>
  </w:num>
  <w:num w:numId="7">
    <w:abstractNumId w:val="5"/>
  </w:num>
  <w:num w:numId="8">
    <w:abstractNumId w:val="0"/>
  </w:num>
  <w:num w:numId="9">
    <w:abstractNumId w:val="25"/>
  </w:num>
  <w:num w:numId="10">
    <w:abstractNumId w:val="22"/>
  </w:num>
  <w:num w:numId="11">
    <w:abstractNumId w:val="3"/>
  </w:num>
  <w:num w:numId="12">
    <w:abstractNumId w:val="24"/>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2"/>
  </w:num>
  <w:num w:numId="25">
    <w:abstractNumId w:val="10"/>
  </w:num>
  <w:num w:numId="26">
    <w:abstractNumId w:val="14"/>
  </w:num>
  <w:num w:numId="27">
    <w:abstractNumId w:val="23"/>
  </w:num>
  <w:num w:numId="28">
    <w:abstractNumId w:val="19"/>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F"/>
    <w:rsid w:val="0017438C"/>
    <w:rsid w:val="00B3075F"/>
    <w:rsid w:val="00F5091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5F"/>
    <w:pPr>
      <w:widowControl w:val="0"/>
      <w:suppressAutoHyphens/>
      <w:spacing w:line="360" w:lineRule="auto"/>
      <w:ind w:firstLine="851"/>
      <w:jc w:val="both"/>
    </w:pPr>
    <w:rPr>
      <w:rFonts w:ascii="Times New Roman" w:eastAsia="Arial Unicode MS" w:hAnsi="Times New Roman" w:cs="Times New Roman"/>
      <w:kern w:val="1"/>
      <w:lang w:val="pl-PL"/>
    </w:rPr>
  </w:style>
  <w:style w:type="paragraph" w:styleId="Heading1">
    <w:name w:val="heading 1"/>
    <w:basedOn w:val="Normal"/>
    <w:next w:val="Normal"/>
    <w:link w:val="Heading1Char"/>
    <w:qFormat/>
    <w:rsid w:val="00B3075F"/>
    <w:pPr>
      <w:keepNext/>
      <w:spacing w:before="480" w:after="360" w:line="240" w:lineRule="auto"/>
      <w:ind w:left="720" w:hanging="720"/>
      <w:jc w:val="left"/>
      <w:outlineLvl w:val="0"/>
    </w:pPr>
    <w:rPr>
      <w:rFonts w:ascii="Arial" w:hAnsi="Arial" w:cs="Arial"/>
      <w:b/>
      <w:bCs/>
      <w:kern w:val="32"/>
      <w:sz w:val="36"/>
      <w:szCs w:val="32"/>
    </w:rPr>
  </w:style>
  <w:style w:type="paragraph" w:styleId="Heading2">
    <w:name w:val="heading 2"/>
    <w:basedOn w:val="Normal"/>
    <w:next w:val="Normal"/>
    <w:link w:val="Heading2Char"/>
    <w:qFormat/>
    <w:rsid w:val="00B3075F"/>
    <w:pPr>
      <w:keepNext/>
      <w:spacing w:before="360" w:after="240" w:line="240" w:lineRule="auto"/>
      <w:ind w:left="720" w:hanging="720"/>
      <w:jc w:val="left"/>
      <w:outlineLvl w:val="1"/>
    </w:pPr>
    <w:rPr>
      <w:rFonts w:ascii="Arial" w:hAnsi="Arial" w:cs="Arial"/>
      <w:b/>
      <w:bCs/>
      <w:iCs/>
      <w:kern w:val="28"/>
      <w:sz w:val="32"/>
      <w:szCs w:val="28"/>
    </w:rPr>
  </w:style>
  <w:style w:type="paragraph" w:styleId="Heading3">
    <w:name w:val="heading 3"/>
    <w:basedOn w:val="Normal"/>
    <w:next w:val="Normal"/>
    <w:link w:val="Heading3Char"/>
    <w:qFormat/>
    <w:rsid w:val="00B3075F"/>
    <w:pPr>
      <w:keepNext/>
      <w:spacing w:before="240"/>
      <w:ind w:firstLine="0"/>
      <w:jc w:val="left"/>
      <w:outlineLvl w:val="2"/>
    </w:pPr>
    <w:rPr>
      <w:rFonts w:ascii="Arial" w:hAnsi="Arial" w:cs="Arial"/>
      <w:b/>
      <w:bCs/>
      <w:sz w:val="28"/>
      <w:szCs w:val="26"/>
    </w:rPr>
  </w:style>
  <w:style w:type="paragraph" w:styleId="Heading4">
    <w:name w:val="heading 4"/>
    <w:basedOn w:val="Normal"/>
    <w:next w:val="Normal"/>
    <w:link w:val="Heading4Char"/>
    <w:qFormat/>
    <w:rsid w:val="00B3075F"/>
    <w:pPr>
      <w:keepNext/>
      <w:spacing w:before="240" w:after="60"/>
      <w:ind w:firstLine="0"/>
      <w:jc w:val="lef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75F"/>
    <w:rPr>
      <w:rFonts w:ascii="Arial" w:eastAsia="Arial Unicode MS" w:hAnsi="Arial" w:cs="Arial"/>
      <w:b/>
      <w:bCs/>
      <w:kern w:val="32"/>
      <w:sz w:val="36"/>
      <w:szCs w:val="32"/>
      <w:lang w:val="pl-PL"/>
    </w:rPr>
  </w:style>
  <w:style w:type="character" w:customStyle="1" w:styleId="Heading2Char">
    <w:name w:val="Heading 2 Char"/>
    <w:basedOn w:val="DefaultParagraphFont"/>
    <w:link w:val="Heading2"/>
    <w:rsid w:val="00B3075F"/>
    <w:rPr>
      <w:rFonts w:ascii="Arial" w:eastAsia="Arial Unicode MS" w:hAnsi="Arial" w:cs="Arial"/>
      <w:b/>
      <w:bCs/>
      <w:iCs/>
      <w:kern w:val="28"/>
      <w:sz w:val="32"/>
      <w:szCs w:val="28"/>
      <w:lang w:val="pl-PL"/>
    </w:rPr>
  </w:style>
  <w:style w:type="character" w:customStyle="1" w:styleId="Heading3Char">
    <w:name w:val="Heading 3 Char"/>
    <w:basedOn w:val="DefaultParagraphFont"/>
    <w:link w:val="Heading3"/>
    <w:rsid w:val="00B3075F"/>
    <w:rPr>
      <w:rFonts w:ascii="Arial" w:eastAsia="Arial Unicode MS" w:hAnsi="Arial" w:cs="Arial"/>
      <w:b/>
      <w:bCs/>
      <w:kern w:val="1"/>
      <w:sz w:val="28"/>
      <w:szCs w:val="26"/>
      <w:lang w:val="pl-PL"/>
    </w:rPr>
  </w:style>
  <w:style w:type="character" w:customStyle="1" w:styleId="Heading4Char">
    <w:name w:val="Heading 4 Char"/>
    <w:basedOn w:val="DefaultParagraphFont"/>
    <w:link w:val="Heading4"/>
    <w:rsid w:val="00B3075F"/>
    <w:rPr>
      <w:rFonts w:ascii="Arial" w:eastAsia="Arial Unicode MS" w:hAnsi="Arial" w:cs="Times New Roman"/>
      <w:b/>
      <w:bCs/>
      <w:kern w:val="1"/>
      <w:szCs w:val="28"/>
      <w:lang w:val="pl-PL"/>
    </w:rPr>
  </w:style>
  <w:style w:type="paragraph" w:customStyle="1" w:styleId="StylPunktowane">
    <w:name w:val="Styl Punktowane"/>
    <w:basedOn w:val="Normal"/>
    <w:rsid w:val="00B3075F"/>
    <w:pPr>
      <w:numPr>
        <w:numId w:val="1"/>
      </w:numPr>
      <w:ind w:left="714" w:hanging="357"/>
    </w:pPr>
  </w:style>
  <w:style w:type="paragraph" w:customStyle="1" w:styleId="Wramce">
    <w:name w:val="Wramce"/>
    <w:basedOn w:val="Normal"/>
    <w:rsid w:val="00B3075F"/>
    <w:pPr>
      <w:spacing w:line="240" w:lineRule="auto"/>
      <w:ind w:firstLine="0"/>
    </w:pPr>
  </w:style>
  <w:style w:type="paragraph" w:customStyle="1" w:styleId="PodpisTabeli">
    <w:name w:val="Podpis Tabeli"/>
    <w:basedOn w:val="Normal"/>
    <w:link w:val="PodpisTabeliZnak"/>
    <w:rsid w:val="00B3075F"/>
    <w:pPr>
      <w:spacing w:before="60" w:after="60" w:line="240" w:lineRule="auto"/>
      <w:ind w:firstLine="0"/>
    </w:pPr>
    <w:rPr>
      <w:kern w:val="24"/>
      <w:szCs w:val="20"/>
    </w:rPr>
  </w:style>
  <w:style w:type="character" w:customStyle="1" w:styleId="PodpisTabeliZnak">
    <w:name w:val="Podpis Tabeli Znak"/>
    <w:basedOn w:val="DefaultParagraphFont"/>
    <w:link w:val="PodpisTabeli"/>
    <w:rsid w:val="00B3075F"/>
    <w:rPr>
      <w:rFonts w:ascii="Times New Roman" w:eastAsia="Arial Unicode MS" w:hAnsi="Times New Roman" w:cs="Times New Roman"/>
      <w:kern w:val="24"/>
      <w:szCs w:val="20"/>
      <w:lang w:val="pl-PL"/>
    </w:rPr>
  </w:style>
  <w:style w:type="paragraph" w:styleId="BodyText">
    <w:name w:val="Body Text"/>
    <w:basedOn w:val="Normal"/>
    <w:link w:val="BodyTextChar"/>
    <w:autoRedefine/>
    <w:rsid w:val="00B3075F"/>
  </w:style>
  <w:style w:type="character" w:customStyle="1" w:styleId="BodyTextChar">
    <w:name w:val="Body Text Char"/>
    <w:basedOn w:val="DefaultParagraphFont"/>
    <w:link w:val="BodyText"/>
    <w:rsid w:val="00B3075F"/>
    <w:rPr>
      <w:rFonts w:ascii="Times New Roman" w:eastAsia="Arial Unicode MS" w:hAnsi="Times New Roman" w:cs="Times New Roman"/>
      <w:kern w:val="1"/>
      <w:lang w:val="pl-PL"/>
    </w:rPr>
  </w:style>
  <w:style w:type="paragraph" w:customStyle="1" w:styleId="Ramka">
    <w:name w:val="Ramka"/>
    <w:basedOn w:val="Normal"/>
    <w:rsid w:val="00B3075F"/>
    <w:pPr>
      <w:pBdr>
        <w:top w:val="single" w:sz="24" w:space="1" w:color="DDDDDD"/>
        <w:left w:val="single" w:sz="24" w:space="4" w:color="DDDDDD"/>
        <w:bottom w:val="single" w:sz="24" w:space="1" w:color="DDDDDD"/>
        <w:right w:val="single" w:sz="24" w:space="4" w:color="DDDDDD"/>
      </w:pBdr>
      <w:shd w:val="clear" w:color="auto" w:fill="F3F3F3"/>
      <w:spacing w:after="120"/>
      <w:ind w:left="567" w:firstLine="0"/>
      <w:jc w:val="left"/>
    </w:pPr>
    <w:rPr>
      <w:rFonts w:ascii="Arial" w:hAnsi="Arial"/>
      <w:kern w:val="24"/>
      <w:sz w:val="20"/>
    </w:rPr>
  </w:style>
  <w:style w:type="paragraph" w:customStyle="1" w:styleId="Schemat">
    <w:name w:val="Schemat"/>
    <w:basedOn w:val="Normal"/>
    <w:link w:val="SchematZnak"/>
    <w:rsid w:val="00B3075F"/>
    <w:pPr>
      <w:spacing w:line="240" w:lineRule="auto"/>
      <w:jc w:val="center"/>
    </w:pPr>
    <w:rPr>
      <w:sz w:val="20"/>
    </w:rPr>
  </w:style>
  <w:style w:type="character" w:customStyle="1" w:styleId="SchematZnak">
    <w:name w:val="Schemat Znak"/>
    <w:basedOn w:val="DefaultParagraphFont"/>
    <w:link w:val="Schemat"/>
    <w:rsid w:val="00B3075F"/>
    <w:rPr>
      <w:rFonts w:ascii="Times New Roman" w:eastAsia="Arial Unicode MS" w:hAnsi="Times New Roman" w:cs="Times New Roman"/>
      <w:kern w:val="1"/>
      <w:sz w:val="20"/>
      <w:lang w:val="pl-PL"/>
    </w:rPr>
  </w:style>
  <w:style w:type="paragraph" w:styleId="DocumentMap">
    <w:name w:val="Document Map"/>
    <w:basedOn w:val="Normal"/>
    <w:link w:val="DocumentMapChar"/>
    <w:semiHidden/>
    <w:rsid w:val="00B307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3075F"/>
    <w:rPr>
      <w:rFonts w:ascii="Tahoma" w:eastAsia="Arial Unicode MS" w:hAnsi="Tahoma" w:cs="Tahoma"/>
      <w:kern w:val="1"/>
      <w:sz w:val="20"/>
      <w:szCs w:val="20"/>
      <w:shd w:val="clear" w:color="auto" w:fill="000080"/>
      <w:lang w:val="pl-PL"/>
    </w:rPr>
  </w:style>
  <w:style w:type="paragraph" w:styleId="BalloonText">
    <w:name w:val="Balloon Text"/>
    <w:basedOn w:val="Normal"/>
    <w:link w:val="BalloonTextChar"/>
    <w:semiHidden/>
    <w:rsid w:val="00B3075F"/>
    <w:rPr>
      <w:rFonts w:ascii="Tahoma" w:hAnsi="Tahoma" w:cs="Tahoma"/>
      <w:sz w:val="16"/>
      <w:szCs w:val="16"/>
    </w:rPr>
  </w:style>
  <w:style w:type="character" w:customStyle="1" w:styleId="BalloonTextChar">
    <w:name w:val="Balloon Text Char"/>
    <w:basedOn w:val="DefaultParagraphFont"/>
    <w:link w:val="BalloonText"/>
    <w:semiHidden/>
    <w:rsid w:val="00B3075F"/>
    <w:rPr>
      <w:rFonts w:ascii="Tahoma" w:eastAsia="Arial Unicode MS" w:hAnsi="Tahoma" w:cs="Tahoma"/>
      <w:kern w:val="1"/>
      <w:sz w:val="16"/>
      <w:szCs w:val="16"/>
      <w:lang w:val="pl-PL"/>
    </w:rPr>
  </w:style>
  <w:style w:type="character" w:styleId="CommentReference">
    <w:name w:val="annotation reference"/>
    <w:basedOn w:val="DefaultParagraphFont"/>
    <w:semiHidden/>
    <w:rsid w:val="00B3075F"/>
    <w:rPr>
      <w:sz w:val="16"/>
      <w:szCs w:val="16"/>
    </w:rPr>
  </w:style>
  <w:style w:type="paragraph" w:styleId="CommentText">
    <w:name w:val="annotation text"/>
    <w:basedOn w:val="Normal"/>
    <w:link w:val="CommentTextChar"/>
    <w:semiHidden/>
    <w:rsid w:val="00B3075F"/>
    <w:pPr>
      <w:spacing w:before="120"/>
      <w:ind w:firstLine="0"/>
    </w:pPr>
    <w:rPr>
      <w:sz w:val="20"/>
      <w:szCs w:val="20"/>
    </w:rPr>
  </w:style>
  <w:style w:type="character" w:customStyle="1" w:styleId="CommentTextChar">
    <w:name w:val="Comment Text Char"/>
    <w:basedOn w:val="DefaultParagraphFont"/>
    <w:link w:val="CommentText"/>
    <w:semiHidden/>
    <w:rsid w:val="00B3075F"/>
    <w:rPr>
      <w:rFonts w:ascii="Times New Roman" w:eastAsia="Arial Unicode MS" w:hAnsi="Times New Roman" w:cs="Times New Roman"/>
      <w:kern w:val="1"/>
      <w:sz w:val="20"/>
      <w:szCs w:val="20"/>
      <w:lang w:val="pl-PL"/>
    </w:rPr>
  </w:style>
  <w:style w:type="paragraph" w:styleId="EndnoteText">
    <w:name w:val="endnote text"/>
    <w:basedOn w:val="Normal"/>
    <w:link w:val="EndnoteTextChar"/>
    <w:semiHidden/>
    <w:rsid w:val="00B3075F"/>
    <w:rPr>
      <w:sz w:val="20"/>
      <w:szCs w:val="20"/>
    </w:rPr>
  </w:style>
  <w:style w:type="character" w:customStyle="1" w:styleId="EndnoteTextChar">
    <w:name w:val="Endnote Text Char"/>
    <w:basedOn w:val="DefaultParagraphFont"/>
    <w:link w:val="EndnoteText"/>
    <w:semiHidden/>
    <w:rsid w:val="00B3075F"/>
    <w:rPr>
      <w:rFonts w:ascii="Times New Roman" w:eastAsia="Arial Unicode MS" w:hAnsi="Times New Roman" w:cs="Times New Roman"/>
      <w:kern w:val="1"/>
      <w:sz w:val="20"/>
      <w:szCs w:val="20"/>
      <w:lang w:val="pl-PL"/>
    </w:rPr>
  </w:style>
  <w:style w:type="paragraph" w:styleId="Footer">
    <w:name w:val="footer"/>
    <w:basedOn w:val="Normal"/>
    <w:link w:val="FooterChar"/>
    <w:rsid w:val="00B3075F"/>
    <w:pPr>
      <w:tabs>
        <w:tab w:val="center" w:pos="4536"/>
        <w:tab w:val="right" w:pos="9072"/>
      </w:tabs>
    </w:pPr>
  </w:style>
  <w:style w:type="character" w:customStyle="1" w:styleId="FooterChar">
    <w:name w:val="Footer Char"/>
    <w:basedOn w:val="DefaultParagraphFont"/>
    <w:link w:val="Footer"/>
    <w:rsid w:val="00B3075F"/>
    <w:rPr>
      <w:rFonts w:ascii="Times New Roman" w:eastAsia="Arial Unicode MS" w:hAnsi="Times New Roman" w:cs="Times New Roman"/>
      <w:kern w:val="1"/>
      <w:lang w:val="pl-PL"/>
    </w:rPr>
  </w:style>
  <w:style w:type="character" w:styleId="EndnoteReference">
    <w:name w:val="endnote reference"/>
    <w:basedOn w:val="DefaultParagraphFont"/>
    <w:semiHidden/>
    <w:rsid w:val="00B3075F"/>
    <w:rPr>
      <w:vertAlign w:val="superscript"/>
    </w:rPr>
  </w:style>
  <w:style w:type="table" w:styleId="TableGrid">
    <w:name w:val="Table Grid"/>
    <w:basedOn w:val="TableNormal"/>
    <w:rsid w:val="00B3075F"/>
    <w:pPr>
      <w:widowControl w:val="0"/>
      <w:suppressAutoHyphens/>
      <w:spacing w:before="100" w:after="6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B3075F"/>
    <w:pPr>
      <w:spacing w:before="360" w:after="360"/>
      <w:ind w:firstLine="0"/>
    </w:pPr>
    <w:rPr>
      <w:b/>
      <w:bCs/>
      <w:caps/>
      <w:sz w:val="22"/>
      <w:szCs w:val="22"/>
      <w:u w:val="single"/>
    </w:rPr>
  </w:style>
  <w:style w:type="paragraph" w:styleId="TOC2">
    <w:name w:val="toc 2"/>
    <w:basedOn w:val="Normal"/>
    <w:next w:val="Normal"/>
    <w:autoRedefine/>
    <w:semiHidden/>
    <w:rsid w:val="00B3075F"/>
    <w:pPr>
      <w:ind w:firstLine="0"/>
    </w:pPr>
    <w:rPr>
      <w:b/>
      <w:bCs/>
      <w:smallCaps/>
      <w:sz w:val="22"/>
      <w:szCs w:val="22"/>
    </w:rPr>
  </w:style>
  <w:style w:type="paragraph" w:styleId="TOC3">
    <w:name w:val="toc 3"/>
    <w:basedOn w:val="Normal"/>
    <w:next w:val="Normal"/>
    <w:autoRedefine/>
    <w:semiHidden/>
    <w:rsid w:val="00B3075F"/>
    <w:pPr>
      <w:ind w:firstLine="0"/>
    </w:pPr>
    <w:rPr>
      <w:smallCaps/>
      <w:sz w:val="22"/>
      <w:szCs w:val="22"/>
    </w:rPr>
  </w:style>
  <w:style w:type="paragraph" w:styleId="TOC4">
    <w:name w:val="toc 4"/>
    <w:basedOn w:val="Normal"/>
    <w:next w:val="Normal"/>
    <w:autoRedefine/>
    <w:semiHidden/>
    <w:rsid w:val="00B3075F"/>
    <w:pPr>
      <w:ind w:firstLine="0"/>
    </w:pPr>
    <w:rPr>
      <w:sz w:val="22"/>
      <w:szCs w:val="22"/>
    </w:rPr>
  </w:style>
  <w:style w:type="paragraph" w:styleId="TOC5">
    <w:name w:val="toc 5"/>
    <w:basedOn w:val="Normal"/>
    <w:next w:val="Normal"/>
    <w:autoRedefine/>
    <w:semiHidden/>
    <w:rsid w:val="00B3075F"/>
    <w:pPr>
      <w:ind w:firstLine="0"/>
    </w:pPr>
    <w:rPr>
      <w:sz w:val="22"/>
      <w:szCs w:val="22"/>
    </w:rPr>
  </w:style>
  <w:style w:type="paragraph" w:styleId="TOC6">
    <w:name w:val="toc 6"/>
    <w:basedOn w:val="Normal"/>
    <w:next w:val="Normal"/>
    <w:autoRedefine/>
    <w:semiHidden/>
    <w:rsid w:val="00B3075F"/>
    <w:pPr>
      <w:ind w:firstLine="0"/>
    </w:pPr>
    <w:rPr>
      <w:sz w:val="22"/>
      <w:szCs w:val="22"/>
    </w:rPr>
  </w:style>
  <w:style w:type="paragraph" w:styleId="TOC7">
    <w:name w:val="toc 7"/>
    <w:basedOn w:val="Normal"/>
    <w:next w:val="Normal"/>
    <w:autoRedefine/>
    <w:semiHidden/>
    <w:rsid w:val="00B3075F"/>
    <w:pPr>
      <w:ind w:firstLine="0"/>
    </w:pPr>
    <w:rPr>
      <w:sz w:val="22"/>
      <w:szCs w:val="22"/>
    </w:rPr>
  </w:style>
  <w:style w:type="paragraph" w:styleId="TOC8">
    <w:name w:val="toc 8"/>
    <w:basedOn w:val="Normal"/>
    <w:next w:val="Normal"/>
    <w:autoRedefine/>
    <w:semiHidden/>
    <w:rsid w:val="00B3075F"/>
    <w:pPr>
      <w:ind w:firstLine="0"/>
    </w:pPr>
    <w:rPr>
      <w:sz w:val="22"/>
      <w:szCs w:val="22"/>
    </w:rPr>
  </w:style>
  <w:style w:type="paragraph" w:styleId="TOC9">
    <w:name w:val="toc 9"/>
    <w:basedOn w:val="Normal"/>
    <w:next w:val="Normal"/>
    <w:autoRedefine/>
    <w:semiHidden/>
    <w:rsid w:val="00B3075F"/>
    <w:pPr>
      <w:ind w:firstLine="0"/>
    </w:pPr>
    <w:rPr>
      <w:sz w:val="22"/>
      <w:szCs w:val="22"/>
    </w:rPr>
  </w:style>
  <w:style w:type="paragraph" w:customStyle="1" w:styleId="Cytowanie">
    <w:name w:val="Cytowanie"/>
    <w:basedOn w:val="Normal"/>
    <w:rsid w:val="00B3075F"/>
    <w:pPr>
      <w:spacing w:before="120"/>
      <w:ind w:firstLine="0"/>
    </w:pPr>
    <w:rPr>
      <w:lang w:val="en-US"/>
    </w:rPr>
  </w:style>
  <w:style w:type="paragraph" w:customStyle="1" w:styleId="Zawartotabeli">
    <w:name w:val="Zawartość tabeli"/>
    <w:basedOn w:val="Normal"/>
    <w:rsid w:val="00B3075F"/>
    <w:pPr>
      <w:suppressLineNumbers/>
      <w:spacing w:before="60" w:after="60" w:line="320" w:lineRule="exact"/>
      <w:ind w:firstLine="0"/>
    </w:pPr>
  </w:style>
  <w:style w:type="character" w:customStyle="1" w:styleId="PodpisrysunkuZnak">
    <w:name w:val="Podpis rysunku Znak"/>
    <w:basedOn w:val="PodpisTabeliZnak"/>
    <w:link w:val="Podpisrysunku"/>
    <w:rsid w:val="00B3075F"/>
    <w:rPr>
      <w:rFonts w:ascii="Times New Roman" w:eastAsia="Arial Unicode MS" w:hAnsi="Times New Roman" w:cs="Times New Roman"/>
      <w:kern w:val="24"/>
      <w:szCs w:val="20"/>
      <w:lang w:val="pl-PL"/>
    </w:rPr>
  </w:style>
  <w:style w:type="paragraph" w:customStyle="1" w:styleId="Podpisrysunku">
    <w:name w:val="Podpis rysunku"/>
    <w:basedOn w:val="PodpisTabeli"/>
    <w:link w:val="PodpisrysunkuZnak"/>
    <w:rsid w:val="00B3075F"/>
    <w:pPr>
      <w:spacing w:after="240"/>
      <w:jc w:val="center"/>
    </w:pPr>
  </w:style>
  <w:style w:type="character" w:customStyle="1" w:styleId="google-src-text">
    <w:name w:val="google-src-text"/>
    <w:basedOn w:val="DefaultParagraphFont"/>
    <w:rsid w:val="00B3075F"/>
  </w:style>
  <w:style w:type="paragraph" w:styleId="CommentSubject">
    <w:name w:val="annotation subject"/>
    <w:basedOn w:val="CommentText"/>
    <w:next w:val="CommentText"/>
    <w:link w:val="CommentSubjectChar"/>
    <w:rsid w:val="00B3075F"/>
    <w:pPr>
      <w:spacing w:before="0"/>
      <w:ind w:firstLine="851"/>
    </w:pPr>
    <w:rPr>
      <w:b/>
      <w:bCs/>
    </w:rPr>
  </w:style>
  <w:style w:type="character" w:customStyle="1" w:styleId="CommentSubjectChar">
    <w:name w:val="Comment Subject Char"/>
    <w:basedOn w:val="CommentTextChar"/>
    <w:link w:val="CommentSubject"/>
    <w:rsid w:val="00B3075F"/>
    <w:rPr>
      <w:rFonts w:ascii="Times New Roman" w:eastAsia="Arial Unicode MS" w:hAnsi="Times New Roman" w:cs="Times New Roman"/>
      <w:b/>
      <w:bCs/>
      <w:kern w:val="1"/>
      <w:sz w:val="20"/>
      <w:szCs w:val="20"/>
      <w:lang w:val="pl-PL"/>
    </w:rPr>
  </w:style>
  <w:style w:type="character" w:customStyle="1" w:styleId="TematkomentarzaZnak">
    <w:name w:val="Temat komentarza Znak"/>
    <w:basedOn w:val="CommentTextChar"/>
    <w:rsid w:val="00B3075F"/>
    <w:rPr>
      <w:rFonts w:ascii="Times New Roman" w:eastAsia="Arial Unicode MS" w:hAnsi="Times New Roman" w:cs="Times New Roman"/>
      <w:kern w:val="1"/>
      <w:sz w:val="20"/>
      <w:szCs w:val="20"/>
      <w:lang w:val="pl-PL"/>
    </w:rPr>
  </w:style>
  <w:style w:type="paragraph" w:customStyle="1" w:styleId="Poprawka">
    <w:name w:val="Poprawka"/>
    <w:hidden/>
    <w:uiPriority w:val="99"/>
    <w:semiHidden/>
    <w:rsid w:val="00B3075F"/>
    <w:rPr>
      <w:rFonts w:ascii="Times New Roman" w:eastAsia="Arial Unicode MS" w:hAnsi="Times New Roman" w:cs="Times New Roman"/>
      <w:kern w:val="1"/>
      <w:lang w:val="pl-PL"/>
    </w:rPr>
  </w:style>
  <w:style w:type="character" w:styleId="Hyperlink">
    <w:name w:val="Hyperlink"/>
    <w:basedOn w:val="DefaultParagraphFont"/>
    <w:rsid w:val="00B3075F"/>
    <w:rPr>
      <w:color w:val="0000FF"/>
      <w:u w:val="single"/>
    </w:rPr>
  </w:style>
  <w:style w:type="paragraph" w:styleId="Header">
    <w:name w:val="header"/>
    <w:basedOn w:val="Normal"/>
    <w:link w:val="HeaderChar"/>
    <w:rsid w:val="00B3075F"/>
    <w:pPr>
      <w:tabs>
        <w:tab w:val="center" w:pos="4536"/>
        <w:tab w:val="right" w:pos="9072"/>
      </w:tabs>
    </w:pPr>
  </w:style>
  <w:style w:type="character" w:customStyle="1" w:styleId="HeaderChar">
    <w:name w:val="Header Char"/>
    <w:basedOn w:val="DefaultParagraphFont"/>
    <w:link w:val="Header"/>
    <w:rsid w:val="00B3075F"/>
    <w:rPr>
      <w:rFonts w:ascii="Times New Roman" w:eastAsia="Arial Unicode MS" w:hAnsi="Times New Roman" w:cs="Times New Roman"/>
      <w:kern w:val="1"/>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5F"/>
    <w:pPr>
      <w:widowControl w:val="0"/>
      <w:suppressAutoHyphens/>
      <w:spacing w:line="360" w:lineRule="auto"/>
      <w:ind w:firstLine="851"/>
      <w:jc w:val="both"/>
    </w:pPr>
    <w:rPr>
      <w:rFonts w:ascii="Times New Roman" w:eastAsia="Arial Unicode MS" w:hAnsi="Times New Roman" w:cs="Times New Roman"/>
      <w:kern w:val="1"/>
      <w:lang w:val="pl-PL"/>
    </w:rPr>
  </w:style>
  <w:style w:type="paragraph" w:styleId="Heading1">
    <w:name w:val="heading 1"/>
    <w:basedOn w:val="Normal"/>
    <w:next w:val="Normal"/>
    <w:link w:val="Heading1Char"/>
    <w:qFormat/>
    <w:rsid w:val="00B3075F"/>
    <w:pPr>
      <w:keepNext/>
      <w:spacing w:before="480" w:after="360" w:line="240" w:lineRule="auto"/>
      <w:ind w:left="720" w:hanging="720"/>
      <w:jc w:val="left"/>
      <w:outlineLvl w:val="0"/>
    </w:pPr>
    <w:rPr>
      <w:rFonts w:ascii="Arial" w:hAnsi="Arial" w:cs="Arial"/>
      <w:b/>
      <w:bCs/>
      <w:kern w:val="32"/>
      <w:sz w:val="36"/>
      <w:szCs w:val="32"/>
    </w:rPr>
  </w:style>
  <w:style w:type="paragraph" w:styleId="Heading2">
    <w:name w:val="heading 2"/>
    <w:basedOn w:val="Normal"/>
    <w:next w:val="Normal"/>
    <w:link w:val="Heading2Char"/>
    <w:qFormat/>
    <w:rsid w:val="00B3075F"/>
    <w:pPr>
      <w:keepNext/>
      <w:spacing w:before="360" w:after="240" w:line="240" w:lineRule="auto"/>
      <w:ind w:left="720" w:hanging="720"/>
      <w:jc w:val="left"/>
      <w:outlineLvl w:val="1"/>
    </w:pPr>
    <w:rPr>
      <w:rFonts w:ascii="Arial" w:hAnsi="Arial" w:cs="Arial"/>
      <w:b/>
      <w:bCs/>
      <w:iCs/>
      <w:kern w:val="28"/>
      <w:sz w:val="32"/>
      <w:szCs w:val="28"/>
    </w:rPr>
  </w:style>
  <w:style w:type="paragraph" w:styleId="Heading3">
    <w:name w:val="heading 3"/>
    <w:basedOn w:val="Normal"/>
    <w:next w:val="Normal"/>
    <w:link w:val="Heading3Char"/>
    <w:qFormat/>
    <w:rsid w:val="00B3075F"/>
    <w:pPr>
      <w:keepNext/>
      <w:spacing w:before="240"/>
      <w:ind w:firstLine="0"/>
      <w:jc w:val="left"/>
      <w:outlineLvl w:val="2"/>
    </w:pPr>
    <w:rPr>
      <w:rFonts w:ascii="Arial" w:hAnsi="Arial" w:cs="Arial"/>
      <w:b/>
      <w:bCs/>
      <w:sz w:val="28"/>
      <w:szCs w:val="26"/>
    </w:rPr>
  </w:style>
  <w:style w:type="paragraph" w:styleId="Heading4">
    <w:name w:val="heading 4"/>
    <w:basedOn w:val="Normal"/>
    <w:next w:val="Normal"/>
    <w:link w:val="Heading4Char"/>
    <w:qFormat/>
    <w:rsid w:val="00B3075F"/>
    <w:pPr>
      <w:keepNext/>
      <w:spacing w:before="240" w:after="60"/>
      <w:ind w:firstLine="0"/>
      <w:jc w:val="lef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75F"/>
    <w:rPr>
      <w:rFonts w:ascii="Arial" w:eastAsia="Arial Unicode MS" w:hAnsi="Arial" w:cs="Arial"/>
      <w:b/>
      <w:bCs/>
      <w:kern w:val="32"/>
      <w:sz w:val="36"/>
      <w:szCs w:val="32"/>
      <w:lang w:val="pl-PL"/>
    </w:rPr>
  </w:style>
  <w:style w:type="character" w:customStyle="1" w:styleId="Heading2Char">
    <w:name w:val="Heading 2 Char"/>
    <w:basedOn w:val="DefaultParagraphFont"/>
    <w:link w:val="Heading2"/>
    <w:rsid w:val="00B3075F"/>
    <w:rPr>
      <w:rFonts w:ascii="Arial" w:eastAsia="Arial Unicode MS" w:hAnsi="Arial" w:cs="Arial"/>
      <w:b/>
      <w:bCs/>
      <w:iCs/>
      <w:kern w:val="28"/>
      <w:sz w:val="32"/>
      <w:szCs w:val="28"/>
      <w:lang w:val="pl-PL"/>
    </w:rPr>
  </w:style>
  <w:style w:type="character" w:customStyle="1" w:styleId="Heading3Char">
    <w:name w:val="Heading 3 Char"/>
    <w:basedOn w:val="DefaultParagraphFont"/>
    <w:link w:val="Heading3"/>
    <w:rsid w:val="00B3075F"/>
    <w:rPr>
      <w:rFonts w:ascii="Arial" w:eastAsia="Arial Unicode MS" w:hAnsi="Arial" w:cs="Arial"/>
      <w:b/>
      <w:bCs/>
      <w:kern w:val="1"/>
      <w:sz w:val="28"/>
      <w:szCs w:val="26"/>
      <w:lang w:val="pl-PL"/>
    </w:rPr>
  </w:style>
  <w:style w:type="character" w:customStyle="1" w:styleId="Heading4Char">
    <w:name w:val="Heading 4 Char"/>
    <w:basedOn w:val="DefaultParagraphFont"/>
    <w:link w:val="Heading4"/>
    <w:rsid w:val="00B3075F"/>
    <w:rPr>
      <w:rFonts w:ascii="Arial" w:eastAsia="Arial Unicode MS" w:hAnsi="Arial" w:cs="Times New Roman"/>
      <w:b/>
      <w:bCs/>
      <w:kern w:val="1"/>
      <w:szCs w:val="28"/>
      <w:lang w:val="pl-PL"/>
    </w:rPr>
  </w:style>
  <w:style w:type="paragraph" w:customStyle="1" w:styleId="StylPunktowane">
    <w:name w:val="Styl Punktowane"/>
    <w:basedOn w:val="Normal"/>
    <w:rsid w:val="00B3075F"/>
    <w:pPr>
      <w:numPr>
        <w:numId w:val="1"/>
      </w:numPr>
      <w:ind w:left="714" w:hanging="357"/>
    </w:pPr>
  </w:style>
  <w:style w:type="paragraph" w:customStyle="1" w:styleId="Wramce">
    <w:name w:val="Wramce"/>
    <w:basedOn w:val="Normal"/>
    <w:rsid w:val="00B3075F"/>
    <w:pPr>
      <w:spacing w:line="240" w:lineRule="auto"/>
      <w:ind w:firstLine="0"/>
    </w:pPr>
  </w:style>
  <w:style w:type="paragraph" w:customStyle="1" w:styleId="PodpisTabeli">
    <w:name w:val="Podpis Tabeli"/>
    <w:basedOn w:val="Normal"/>
    <w:link w:val="PodpisTabeliZnak"/>
    <w:rsid w:val="00B3075F"/>
    <w:pPr>
      <w:spacing w:before="60" w:after="60" w:line="240" w:lineRule="auto"/>
      <w:ind w:firstLine="0"/>
    </w:pPr>
    <w:rPr>
      <w:kern w:val="24"/>
      <w:szCs w:val="20"/>
    </w:rPr>
  </w:style>
  <w:style w:type="character" w:customStyle="1" w:styleId="PodpisTabeliZnak">
    <w:name w:val="Podpis Tabeli Znak"/>
    <w:basedOn w:val="DefaultParagraphFont"/>
    <w:link w:val="PodpisTabeli"/>
    <w:rsid w:val="00B3075F"/>
    <w:rPr>
      <w:rFonts w:ascii="Times New Roman" w:eastAsia="Arial Unicode MS" w:hAnsi="Times New Roman" w:cs="Times New Roman"/>
      <w:kern w:val="24"/>
      <w:szCs w:val="20"/>
      <w:lang w:val="pl-PL"/>
    </w:rPr>
  </w:style>
  <w:style w:type="paragraph" w:styleId="BodyText">
    <w:name w:val="Body Text"/>
    <w:basedOn w:val="Normal"/>
    <w:link w:val="BodyTextChar"/>
    <w:autoRedefine/>
    <w:rsid w:val="00B3075F"/>
  </w:style>
  <w:style w:type="character" w:customStyle="1" w:styleId="BodyTextChar">
    <w:name w:val="Body Text Char"/>
    <w:basedOn w:val="DefaultParagraphFont"/>
    <w:link w:val="BodyText"/>
    <w:rsid w:val="00B3075F"/>
    <w:rPr>
      <w:rFonts w:ascii="Times New Roman" w:eastAsia="Arial Unicode MS" w:hAnsi="Times New Roman" w:cs="Times New Roman"/>
      <w:kern w:val="1"/>
      <w:lang w:val="pl-PL"/>
    </w:rPr>
  </w:style>
  <w:style w:type="paragraph" w:customStyle="1" w:styleId="Ramka">
    <w:name w:val="Ramka"/>
    <w:basedOn w:val="Normal"/>
    <w:rsid w:val="00B3075F"/>
    <w:pPr>
      <w:pBdr>
        <w:top w:val="single" w:sz="24" w:space="1" w:color="DDDDDD"/>
        <w:left w:val="single" w:sz="24" w:space="4" w:color="DDDDDD"/>
        <w:bottom w:val="single" w:sz="24" w:space="1" w:color="DDDDDD"/>
        <w:right w:val="single" w:sz="24" w:space="4" w:color="DDDDDD"/>
      </w:pBdr>
      <w:shd w:val="clear" w:color="auto" w:fill="F3F3F3"/>
      <w:spacing w:after="120"/>
      <w:ind w:left="567" w:firstLine="0"/>
      <w:jc w:val="left"/>
    </w:pPr>
    <w:rPr>
      <w:rFonts w:ascii="Arial" w:hAnsi="Arial"/>
      <w:kern w:val="24"/>
      <w:sz w:val="20"/>
    </w:rPr>
  </w:style>
  <w:style w:type="paragraph" w:customStyle="1" w:styleId="Schemat">
    <w:name w:val="Schemat"/>
    <w:basedOn w:val="Normal"/>
    <w:link w:val="SchematZnak"/>
    <w:rsid w:val="00B3075F"/>
    <w:pPr>
      <w:spacing w:line="240" w:lineRule="auto"/>
      <w:jc w:val="center"/>
    </w:pPr>
    <w:rPr>
      <w:sz w:val="20"/>
    </w:rPr>
  </w:style>
  <w:style w:type="character" w:customStyle="1" w:styleId="SchematZnak">
    <w:name w:val="Schemat Znak"/>
    <w:basedOn w:val="DefaultParagraphFont"/>
    <w:link w:val="Schemat"/>
    <w:rsid w:val="00B3075F"/>
    <w:rPr>
      <w:rFonts w:ascii="Times New Roman" w:eastAsia="Arial Unicode MS" w:hAnsi="Times New Roman" w:cs="Times New Roman"/>
      <w:kern w:val="1"/>
      <w:sz w:val="20"/>
      <w:lang w:val="pl-PL"/>
    </w:rPr>
  </w:style>
  <w:style w:type="paragraph" w:styleId="DocumentMap">
    <w:name w:val="Document Map"/>
    <w:basedOn w:val="Normal"/>
    <w:link w:val="DocumentMapChar"/>
    <w:semiHidden/>
    <w:rsid w:val="00B307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3075F"/>
    <w:rPr>
      <w:rFonts w:ascii="Tahoma" w:eastAsia="Arial Unicode MS" w:hAnsi="Tahoma" w:cs="Tahoma"/>
      <w:kern w:val="1"/>
      <w:sz w:val="20"/>
      <w:szCs w:val="20"/>
      <w:shd w:val="clear" w:color="auto" w:fill="000080"/>
      <w:lang w:val="pl-PL"/>
    </w:rPr>
  </w:style>
  <w:style w:type="paragraph" w:styleId="BalloonText">
    <w:name w:val="Balloon Text"/>
    <w:basedOn w:val="Normal"/>
    <w:link w:val="BalloonTextChar"/>
    <w:semiHidden/>
    <w:rsid w:val="00B3075F"/>
    <w:rPr>
      <w:rFonts w:ascii="Tahoma" w:hAnsi="Tahoma" w:cs="Tahoma"/>
      <w:sz w:val="16"/>
      <w:szCs w:val="16"/>
    </w:rPr>
  </w:style>
  <w:style w:type="character" w:customStyle="1" w:styleId="BalloonTextChar">
    <w:name w:val="Balloon Text Char"/>
    <w:basedOn w:val="DefaultParagraphFont"/>
    <w:link w:val="BalloonText"/>
    <w:semiHidden/>
    <w:rsid w:val="00B3075F"/>
    <w:rPr>
      <w:rFonts w:ascii="Tahoma" w:eastAsia="Arial Unicode MS" w:hAnsi="Tahoma" w:cs="Tahoma"/>
      <w:kern w:val="1"/>
      <w:sz w:val="16"/>
      <w:szCs w:val="16"/>
      <w:lang w:val="pl-PL"/>
    </w:rPr>
  </w:style>
  <w:style w:type="character" w:styleId="CommentReference">
    <w:name w:val="annotation reference"/>
    <w:basedOn w:val="DefaultParagraphFont"/>
    <w:semiHidden/>
    <w:rsid w:val="00B3075F"/>
    <w:rPr>
      <w:sz w:val="16"/>
      <w:szCs w:val="16"/>
    </w:rPr>
  </w:style>
  <w:style w:type="paragraph" w:styleId="CommentText">
    <w:name w:val="annotation text"/>
    <w:basedOn w:val="Normal"/>
    <w:link w:val="CommentTextChar"/>
    <w:semiHidden/>
    <w:rsid w:val="00B3075F"/>
    <w:pPr>
      <w:spacing w:before="120"/>
      <w:ind w:firstLine="0"/>
    </w:pPr>
    <w:rPr>
      <w:sz w:val="20"/>
      <w:szCs w:val="20"/>
    </w:rPr>
  </w:style>
  <w:style w:type="character" w:customStyle="1" w:styleId="CommentTextChar">
    <w:name w:val="Comment Text Char"/>
    <w:basedOn w:val="DefaultParagraphFont"/>
    <w:link w:val="CommentText"/>
    <w:semiHidden/>
    <w:rsid w:val="00B3075F"/>
    <w:rPr>
      <w:rFonts w:ascii="Times New Roman" w:eastAsia="Arial Unicode MS" w:hAnsi="Times New Roman" w:cs="Times New Roman"/>
      <w:kern w:val="1"/>
      <w:sz w:val="20"/>
      <w:szCs w:val="20"/>
      <w:lang w:val="pl-PL"/>
    </w:rPr>
  </w:style>
  <w:style w:type="paragraph" w:styleId="EndnoteText">
    <w:name w:val="endnote text"/>
    <w:basedOn w:val="Normal"/>
    <w:link w:val="EndnoteTextChar"/>
    <w:semiHidden/>
    <w:rsid w:val="00B3075F"/>
    <w:rPr>
      <w:sz w:val="20"/>
      <w:szCs w:val="20"/>
    </w:rPr>
  </w:style>
  <w:style w:type="character" w:customStyle="1" w:styleId="EndnoteTextChar">
    <w:name w:val="Endnote Text Char"/>
    <w:basedOn w:val="DefaultParagraphFont"/>
    <w:link w:val="EndnoteText"/>
    <w:semiHidden/>
    <w:rsid w:val="00B3075F"/>
    <w:rPr>
      <w:rFonts w:ascii="Times New Roman" w:eastAsia="Arial Unicode MS" w:hAnsi="Times New Roman" w:cs="Times New Roman"/>
      <w:kern w:val="1"/>
      <w:sz w:val="20"/>
      <w:szCs w:val="20"/>
      <w:lang w:val="pl-PL"/>
    </w:rPr>
  </w:style>
  <w:style w:type="paragraph" w:styleId="Footer">
    <w:name w:val="footer"/>
    <w:basedOn w:val="Normal"/>
    <w:link w:val="FooterChar"/>
    <w:rsid w:val="00B3075F"/>
    <w:pPr>
      <w:tabs>
        <w:tab w:val="center" w:pos="4536"/>
        <w:tab w:val="right" w:pos="9072"/>
      </w:tabs>
    </w:pPr>
  </w:style>
  <w:style w:type="character" w:customStyle="1" w:styleId="FooterChar">
    <w:name w:val="Footer Char"/>
    <w:basedOn w:val="DefaultParagraphFont"/>
    <w:link w:val="Footer"/>
    <w:rsid w:val="00B3075F"/>
    <w:rPr>
      <w:rFonts w:ascii="Times New Roman" w:eastAsia="Arial Unicode MS" w:hAnsi="Times New Roman" w:cs="Times New Roman"/>
      <w:kern w:val="1"/>
      <w:lang w:val="pl-PL"/>
    </w:rPr>
  </w:style>
  <w:style w:type="character" w:styleId="EndnoteReference">
    <w:name w:val="endnote reference"/>
    <w:basedOn w:val="DefaultParagraphFont"/>
    <w:semiHidden/>
    <w:rsid w:val="00B3075F"/>
    <w:rPr>
      <w:vertAlign w:val="superscript"/>
    </w:rPr>
  </w:style>
  <w:style w:type="table" w:styleId="TableGrid">
    <w:name w:val="Table Grid"/>
    <w:basedOn w:val="TableNormal"/>
    <w:rsid w:val="00B3075F"/>
    <w:pPr>
      <w:widowControl w:val="0"/>
      <w:suppressAutoHyphens/>
      <w:spacing w:before="100" w:after="6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B3075F"/>
    <w:pPr>
      <w:spacing w:before="360" w:after="360"/>
      <w:ind w:firstLine="0"/>
    </w:pPr>
    <w:rPr>
      <w:b/>
      <w:bCs/>
      <w:caps/>
      <w:sz w:val="22"/>
      <w:szCs w:val="22"/>
      <w:u w:val="single"/>
    </w:rPr>
  </w:style>
  <w:style w:type="paragraph" w:styleId="TOC2">
    <w:name w:val="toc 2"/>
    <w:basedOn w:val="Normal"/>
    <w:next w:val="Normal"/>
    <w:autoRedefine/>
    <w:semiHidden/>
    <w:rsid w:val="00B3075F"/>
    <w:pPr>
      <w:ind w:firstLine="0"/>
    </w:pPr>
    <w:rPr>
      <w:b/>
      <w:bCs/>
      <w:smallCaps/>
      <w:sz w:val="22"/>
      <w:szCs w:val="22"/>
    </w:rPr>
  </w:style>
  <w:style w:type="paragraph" w:styleId="TOC3">
    <w:name w:val="toc 3"/>
    <w:basedOn w:val="Normal"/>
    <w:next w:val="Normal"/>
    <w:autoRedefine/>
    <w:semiHidden/>
    <w:rsid w:val="00B3075F"/>
    <w:pPr>
      <w:ind w:firstLine="0"/>
    </w:pPr>
    <w:rPr>
      <w:smallCaps/>
      <w:sz w:val="22"/>
      <w:szCs w:val="22"/>
    </w:rPr>
  </w:style>
  <w:style w:type="paragraph" w:styleId="TOC4">
    <w:name w:val="toc 4"/>
    <w:basedOn w:val="Normal"/>
    <w:next w:val="Normal"/>
    <w:autoRedefine/>
    <w:semiHidden/>
    <w:rsid w:val="00B3075F"/>
    <w:pPr>
      <w:ind w:firstLine="0"/>
    </w:pPr>
    <w:rPr>
      <w:sz w:val="22"/>
      <w:szCs w:val="22"/>
    </w:rPr>
  </w:style>
  <w:style w:type="paragraph" w:styleId="TOC5">
    <w:name w:val="toc 5"/>
    <w:basedOn w:val="Normal"/>
    <w:next w:val="Normal"/>
    <w:autoRedefine/>
    <w:semiHidden/>
    <w:rsid w:val="00B3075F"/>
    <w:pPr>
      <w:ind w:firstLine="0"/>
    </w:pPr>
    <w:rPr>
      <w:sz w:val="22"/>
      <w:szCs w:val="22"/>
    </w:rPr>
  </w:style>
  <w:style w:type="paragraph" w:styleId="TOC6">
    <w:name w:val="toc 6"/>
    <w:basedOn w:val="Normal"/>
    <w:next w:val="Normal"/>
    <w:autoRedefine/>
    <w:semiHidden/>
    <w:rsid w:val="00B3075F"/>
    <w:pPr>
      <w:ind w:firstLine="0"/>
    </w:pPr>
    <w:rPr>
      <w:sz w:val="22"/>
      <w:szCs w:val="22"/>
    </w:rPr>
  </w:style>
  <w:style w:type="paragraph" w:styleId="TOC7">
    <w:name w:val="toc 7"/>
    <w:basedOn w:val="Normal"/>
    <w:next w:val="Normal"/>
    <w:autoRedefine/>
    <w:semiHidden/>
    <w:rsid w:val="00B3075F"/>
    <w:pPr>
      <w:ind w:firstLine="0"/>
    </w:pPr>
    <w:rPr>
      <w:sz w:val="22"/>
      <w:szCs w:val="22"/>
    </w:rPr>
  </w:style>
  <w:style w:type="paragraph" w:styleId="TOC8">
    <w:name w:val="toc 8"/>
    <w:basedOn w:val="Normal"/>
    <w:next w:val="Normal"/>
    <w:autoRedefine/>
    <w:semiHidden/>
    <w:rsid w:val="00B3075F"/>
    <w:pPr>
      <w:ind w:firstLine="0"/>
    </w:pPr>
    <w:rPr>
      <w:sz w:val="22"/>
      <w:szCs w:val="22"/>
    </w:rPr>
  </w:style>
  <w:style w:type="paragraph" w:styleId="TOC9">
    <w:name w:val="toc 9"/>
    <w:basedOn w:val="Normal"/>
    <w:next w:val="Normal"/>
    <w:autoRedefine/>
    <w:semiHidden/>
    <w:rsid w:val="00B3075F"/>
    <w:pPr>
      <w:ind w:firstLine="0"/>
    </w:pPr>
    <w:rPr>
      <w:sz w:val="22"/>
      <w:szCs w:val="22"/>
    </w:rPr>
  </w:style>
  <w:style w:type="paragraph" w:customStyle="1" w:styleId="Cytowanie">
    <w:name w:val="Cytowanie"/>
    <w:basedOn w:val="Normal"/>
    <w:rsid w:val="00B3075F"/>
    <w:pPr>
      <w:spacing w:before="120"/>
      <w:ind w:firstLine="0"/>
    </w:pPr>
    <w:rPr>
      <w:lang w:val="en-US"/>
    </w:rPr>
  </w:style>
  <w:style w:type="paragraph" w:customStyle="1" w:styleId="Zawartotabeli">
    <w:name w:val="Zawartość tabeli"/>
    <w:basedOn w:val="Normal"/>
    <w:rsid w:val="00B3075F"/>
    <w:pPr>
      <w:suppressLineNumbers/>
      <w:spacing w:before="60" w:after="60" w:line="320" w:lineRule="exact"/>
      <w:ind w:firstLine="0"/>
    </w:pPr>
  </w:style>
  <w:style w:type="character" w:customStyle="1" w:styleId="PodpisrysunkuZnak">
    <w:name w:val="Podpis rysunku Znak"/>
    <w:basedOn w:val="PodpisTabeliZnak"/>
    <w:link w:val="Podpisrysunku"/>
    <w:rsid w:val="00B3075F"/>
    <w:rPr>
      <w:rFonts w:ascii="Times New Roman" w:eastAsia="Arial Unicode MS" w:hAnsi="Times New Roman" w:cs="Times New Roman"/>
      <w:kern w:val="24"/>
      <w:szCs w:val="20"/>
      <w:lang w:val="pl-PL"/>
    </w:rPr>
  </w:style>
  <w:style w:type="paragraph" w:customStyle="1" w:styleId="Podpisrysunku">
    <w:name w:val="Podpis rysunku"/>
    <w:basedOn w:val="PodpisTabeli"/>
    <w:link w:val="PodpisrysunkuZnak"/>
    <w:rsid w:val="00B3075F"/>
    <w:pPr>
      <w:spacing w:after="240"/>
      <w:jc w:val="center"/>
    </w:pPr>
  </w:style>
  <w:style w:type="character" w:customStyle="1" w:styleId="google-src-text">
    <w:name w:val="google-src-text"/>
    <w:basedOn w:val="DefaultParagraphFont"/>
    <w:rsid w:val="00B3075F"/>
  </w:style>
  <w:style w:type="paragraph" w:styleId="CommentSubject">
    <w:name w:val="annotation subject"/>
    <w:basedOn w:val="CommentText"/>
    <w:next w:val="CommentText"/>
    <w:link w:val="CommentSubjectChar"/>
    <w:rsid w:val="00B3075F"/>
    <w:pPr>
      <w:spacing w:before="0"/>
      <w:ind w:firstLine="851"/>
    </w:pPr>
    <w:rPr>
      <w:b/>
      <w:bCs/>
    </w:rPr>
  </w:style>
  <w:style w:type="character" w:customStyle="1" w:styleId="CommentSubjectChar">
    <w:name w:val="Comment Subject Char"/>
    <w:basedOn w:val="CommentTextChar"/>
    <w:link w:val="CommentSubject"/>
    <w:rsid w:val="00B3075F"/>
    <w:rPr>
      <w:rFonts w:ascii="Times New Roman" w:eastAsia="Arial Unicode MS" w:hAnsi="Times New Roman" w:cs="Times New Roman"/>
      <w:b/>
      <w:bCs/>
      <w:kern w:val="1"/>
      <w:sz w:val="20"/>
      <w:szCs w:val="20"/>
      <w:lang w:val="pl-PL"/>
    </w:rPr>
  </w:style>
  <w:style w:type="character" w:customStyle="1" w:styleId="TematkomentarzaZnak">
    <w:name w:val="Temat komentarza Znak"/>
    <w:basedOn w:val="CommentTextChar"/>
    <w:rsid w:val="00B3075F"/>
    <w:rPr>
      <w:rFonts w:ascii="Times New Roman" w:eastAsia="Arial Unicode MS" w:hAnsi="Times New Roman" w:cs="Times New Roman"/>
      <w:kern w:val="1"/>
      <w:sz w:val="20"/>
      <w:szCs w:val="20"/>
      <w:lang w:val="pl-PL"/>
    </w:rPr>
  </w:style>
  <w:style w:type="paragraph" w:customStyle="1" w:styleId="Poprawka">
    <w:name w:val="Poprawka"/>
    <w:hidden/>
    <w:uiPriority w:val="99"/>
    <w:semiHidden/>
    <w:rsid w:val="00B3075F"/>
    <w:rPr>
      <w:rFonts w:ascii="Times New Roman" w:eastAsia="Arial Unicode MS" w:hAnsi="Times New Roman" w:cs="Times New Roman"/>
      <w:kern w:val="1"/>
      <w:lang w:val="pl-PL"/>
    </w:rPr>
  </w:style>
  <w:style w:type="character" w:styleId="Hyperlink">
    <w:name w:val="Hyperlink"/>
    <w:basedOn w:val="DefaultParagraphFont"/>
    <w:rsid w:val="00B3075F"/>
    <w:rPr>
      <w:color w:val="0000FF"/>
      <w:u w:val="single"/>
    </w:rPr>
  </w:style>
  <w:style w:type="paragraph" w:styleId="Header">
    <w:name w:val="header"/>
    <w:basedOn w:val="Normal"/>
    <w:link w:val="HeaderChar"/>
    <w:rsid w:val="00B3075F"/>
    <w:pPr>
      <w:tabs>
        <w:tab w:val="center" w:pos="4536"/>
        <w:tab w:val="right" w:pos="9072"/>
      </w:tabs>
    </w:pPr>
  </w:style>
  <w:style w:type="character" w:customStyle="1" w:styleId="HeaderChar">
    <w:name w:val="Header Char"/>
    <w:basedOn w:val="DefaultParagraphFont"/>
    <w:link w:val="Header"/>
    <w:rsid w:val="00B3075F"/>
    <w:rPr>
      <w:rFonts w:ascii="Times New Roman" w:eastAsia="Arial Unicode MS" w:hAnsi="Times New Roman" w:cs="Times New Roman"/>
      <w:kern w:val="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Macro-Enabled_Worksheet2.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45"/>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804008908686"/>
          <c:y val="0.0445544554455445"/>
          <c:w val="0.88195991091314"/>
          <c:h val="0.861386138613861"/>
        </c:manualLayout>
      </c:layout>
      <c:bar3DChart>
        <c:barDir val="col"/>
        <c:grouping val="clustered"/>
        <c:varyColors val="0"/>
        <c:ser>
          <c:idx val="0"/>
          <c:order val="0"/>
          <c:tx>
            <c:strRef>
              <c:f>Sheet1!$A$2</c:f>
              <c:strCache>
                <c:ptCount val="1"/>
                <c:pt idx="0">
                  <c:v>"z treningiem"</c:v>
                </c:pt>
              </c:strCache>
            </c:strRef>
          </c:tx>
          <c:spPr>
            <a:solidFill>
              <a:srgbClr val="63AAFE"/>
            </a:solidFill>
            <a:ln w="12679">
              <a:solidFill>
                <a:srgbClr val="000000"/>
              </a:solidFill>
              <a:prstDash val="solid"/>
            </a:ln>
          </c:spPr>
          <c:invertIfNegative val="0"/>
          <c:cat>
            <c:strRef>
              <c:f>Sheet1!$B$1:$E$1</c:f>
              <c:strCache>
                <c:ptCount val="4"/>
                <c:pt idx="0">
                  <c:v>wykonanie zadania</c:v>
                </c:pt>
                <c:pt idx="1">
                  <c:v>wypisanie danych</c:v>
                </c:pt>
                <c:pt idx="2">
                  <c:v>rysunek</c:v>
                </c:pt>
                <c:pt idx="3">
                  <c:v>próba rozwiązania</c:v>
                </c:pt>
              </c:strCache>
            </c:strRef>
          </c:cat>
          <c:val>
            <c:numRef>
              <c:f>Sheet1!$B$2:$E$2</c:f>
              <c:numCache>
                <c:formatCode>0.00%</c:formatCode>
                <c:ptCount val="4"/>
                <c:pt idx="0">
                  <c:v>0.5333</c:v>
                </c:pt>
                <c:pt idx="1">
                  <c:v>0.967</c:v>
                </c:pt>
                <c:pt idx="2" formatCode="General">
                  <c:v>0.7</c:v>
                </c:pt>
                <c:pt idx="3" formatCode="General">
                  <c:v>0.967</c:v>
                </c:pt>
              </c:numCache>
            </c:numRef>
          </c:val>
        </c:ser>
        <c:ser>
          <c:idx val="1"/>
          <c:order val="1"/>
          <c:tx>
            <c:strRef>
              <c:f>Sheet1!$A$3</c:f>
              <c:strCache>
                <c:ptCount val="1"/>
                <c:pt idx="0">
                  <c:v>kontrolna</c:v>
                </c:pt>
              </c:strCache>
            </c:strRef>
          </c:tx>
          <c:spPr>
            <a:solidFill>
              <a:srgbClr val="DD2D32"/>
            </a:solidFill>
            <a:ln w="12679">
              <a:solidFill>
                <a:srgbClr val="000000"/>
              </a:solidFill>
              <a:prstDash val="solid"/>
            </a:ln>
          </c:spPr>
          <c:invertIfNegative val="0"/>
          <c:cat>
            <c:strRef>
              <c:f>Sheet1!$B$1:$E$1</c:f>
              <c:strCache>
                <c:ptCount val="4"/>
                <c:pt idx="0">
                  <c:v>wykonanie zadania</c:v>
                </c:pt>
                <c:pt idx="1">
                  <c:v>wypisanie danych</c:v>
                </c:pt>
                <c:pt idx="2">
                  <c:v>rysunek</c:v>
                </c:pt>
                <c:pt idx="3">
                  <c:v>próba rozwiązania</c:v>
                </c:pt>
              </c:strCache>
            </c:strRef>
          </c:cat>
          <c:val>
            <c:numRef>
              <c:f>Sheet1!$B$3:$E$3</c:f>
              <c:numCache>
                <c:formatCode>0.00%</c:formatCode>
                <c:ptCount val="4"/>
                <c:pt idx="0">
                  <c:v>0.1</c:v>
                </c:pt>
                <c:pt idx="1">
                  <c:v>0.167</c:v>
                </c:pt>
                <c:pt idx="2" formatCode="General">
                  <c:v>0.0</c:v>
                </c:pt>
                <c:pt idx="3" formatCode="General">
                  <c:v>0.5</c:v>
                </c:pt>
              </c:numCache>
            </c:numRef>
          </c:val>
        </c:ser>
        <c:dLbls>
          <c:showLegendKey val="0"/>
          <c:showVal val="0"/>
          <c:showCatName val="0"/>
          <c:showSerName val="0"/>
          <c:showPercent val="0"/>
          <c:showBubbleSize val="0"/>
        </c:dLbls>
        <c:gapWidth val="150"/>
        <c:gapDepth val="0"/>
        <c:shape val="box"/>
        <c:axId val="2114783512"/>
        <c:axId val="2114909480"/>
        <c:axId val="0"/>
      </c:bar3DChart>
      <c:catAx>
        <c:axId val="211478351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24" b="1" i="0" u="none" strike="noStrike" baseline="0">
                <a:solidFill>
                  <a:srgbClr val="000000"/>
                </a:solidFill>
                <a:latin typeface="Arial"/>
                <a:ea typeface="Arial"/>
                <a:cs typeface="Arial"/>
              </a:defRPr>
            </a:pPr>
            <a:endParaRPr lang="en-US"/>
          </a:p>
        </c:txPr>
        <c:crossAx val="2114909480"/>
        <c:crosses val="autoZero"/>
        <c:auto val="1"/>
        <c:lblAlgn val="ctr"/>
        <c:lblOffset val="100"/>
        <c:tickLblSkip val="1"/>
        <c:tickMarkSkip val="1"/>
        <c:noMultiLvlLbl val="0"/>
      </c:catAx>
      <c:valAx>
        <c:axId val="2114909480"/>
        <c:scaling>
          <c:orientation val="minMax"/>
          <c:max val="1.0"/>
        </c:scaling>
        <c:delete val="0"/>
        <c:axPos val="l"/>
        <c:majorGridlines>
          <c:spPr>
            <a:ln w="12679">
              <a:solidFill>
                <a:srgbClr val="969696"/>
              </a:solidFill>
              <a:prstDash val="solid"/>
            </a:ln>
          </c:spPr>
        </c:majorGridlines>
        <c:title>
          <c:tx>
            <c:rich>
              <a:bodyPr/>
              <a:lstStyle/>
              <a:p>
                <a:pPr>
                  <a:defRPr sz="824" b="1" i="0" u="none" strike="noStrike" baseline="0">
                    <a:solidFill>
                      <a:srgbClr val="000000"/>
                    </a:solidFill>
                    <a:latin typeface="Arial"/>
                    <a:ea typeface="Arial"/>
                    <a:cs typeface="Arial"/>
                  </a:defRPr>
                </a:pPr>
                <a:r>
                  <a:rPr lang="en-US"/>
                  <a:t>Liczebność</a:t>
                </a:r>
              </a:p>
            </c:rich>
          </c:tx>
          <c:layout>
            <c:manualLayout>
              <c:xMode val="edge"/>
              <c:yMode val="edge"/>
              <c:x val="0.0"/>
              <c:y val="0.0792079207920792"/>
            </c:manualLayout>
          </c:layout>
          <c:overlay val="0"/>
          <c:spPr>
            <a:noFill/>
            <a:ln w="25357">
              <a:noFill/>
            </a:ln>
          </c:spPr>
        </c:title>
        <c:numFmt formatCode="0%" sourceLinked="0"/>
        <c:majorTickMark val="out"/>
        <c:minorTickMark val="none"/>
        <c:tickLblPos val="nextTo"/>
        <c:spPr>
          <a:ln w="3170">
            <a:solidFill>
              <a:srgbClr val="000000"/>
            </a:solidFill>
            <a:prstDash val="solid"/>
          </a:ln>
        </c:spPr>
        <c:txPr>
          <a:bodyPr rot="0" vert="horz"/>
          <a:lstStyle/>
          <a:p>
            <a:pPr>
              <a:defRPr sz="1173" b="1" i="0" u="none" strike="noStrike" baseline="0">
                <a:solidFill>
                  <a:srgbClr val="000000"/>
                </a:solidFill>
                <a:latin typeface="Arial"/>
                <a:ea typeface="Arial"/>
                <a:cs typeface="Arial"/>
              </a:defRPr>
            </a:pPr>
            <a:endParaRPr lang="en-US"/>
          </a:p>
        </c:txPr>
        <c:crossAx val="2114783512"/>
        <c:crosses val="autoZero"/>
        <c:crossBetween val="between"/>
        <c:majorUnit val="0.5"/>
        <c:minorUnit val="0.5"/>
      </c:valAx>
      <c:spPr>
        <a:noFill/>
        <a:ln w="25357">
          <a:noFill/>
        </a:ln>
      </c:spPr>
    </c:plotArea>
    <c:legend>
      <c:legendPos val="r"/>
      <c:layout>
        <c:manualLayout>
          <c:xMode val="edge"/>
          <c:yMode val="edge"/>
          <c:x val="0.5456570155902"/>
          <c:y val="0.0099009900990099"/>
          <c:w val="0.251670378619154"/>
          <c:h val="0.331683168316832"/>
        </c:manualLayout>
      </c:layout>
      <c:overlay val="0"/>
      <c:spPr>
        <a:noFill/>
        <a:ln w="25357">
          <a:noFill/>
        </a:ln>
      </c:spPr>
      <c:txPr>
        <a:bodyPr/>
        <a:lstStyle/>
        <a:p>
          <a:pPr>
            <a:defRPr sz="918"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73"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45"/>
      <c:rotY val="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7777777777778"/>
          <c:y val="0.0443349753694581"/>
          <c:w val="0.882222222222222"/>
          <c:h val="0.862068965517241"/>
        </c:manualLayout>
      </c:layout>
      <c:bar3DChart>
        <c:barDir val="col"/>
        <c:grouping val="clustered"/>
        <c:varyColors val="0"/>
        <c:ser>
          <c:idx val="0"/>
          <c:order val="0"/>
          <c:tx>
            <c:strRef>
              <c:f>Sheet1!$A$2</c:f>
              <c:strCache>
                <c:ptCount val="1"/>
                <c:pt idx="0">
                  <c:v>"z aktywizacją"</c:v>
                </c:pt>
              </c:strCache>
            </c:strRef>
          </c:tx>
          <c:spPr>
            <a:solidFill>
              <a:srgbClr val="63AAFE"/>
            </a:solidFill>
            <a:ln w="12657">
              <a:solidFill>
                <a:srgbClr val="000000"/>
              </a:solidFill>
              <a:prstDash val="solid"/>
            </a:ln>
          </c:spPr>
          <c:invertIfNegative val="0"/>
          <c:cat>
            <c:strRef>
              <c:f>Sheet1!$B$1:$E$1</c:f>
              <c:strCache>
                <c:ptCount val="4"/>
                <c:pt idx="0">
                  <c:v>wykonanie zadania</c:v>
                </c:pt>
                <c:pt idx="1">
                  <c:v>wypisanie danych</c:v>
                </c:pt>
                <c:pt idx="2">
                  <c:v>rysunek</c:v>
                </c:pt>
                <c:pt idx="3">
                  <c:v>próba rozwiązania</c:v>
                </c:pt>
              </c:strCache>
            </c:strRef>
          </c:cat>
          <c:val>
            <c:numRef>
              <c:f>Sheet1!$B$2:$E$2</c:f>
              <c:numCache>
                <c:formatCode>0.00%</c:formatCode>
                <c:ptCount val="4"/>
                <c:pt idx="0">
                  <c:v>0.0</c:v>
                </c:pt>
                <c:pt idx="1">
                  <c:v>0.031</c:v>
                </c:pt>
                <c:pt idx="2" formatCode="General">
                  <c:v>0.125</c:v>
                </c:pt>
                <c:pt idx="3" formatCode="General">
                  <c:v>0.438</c:v>
                </c:pt>
              </c:numCache>
            </c:numRef>
          </c:val>
        </c:ser>
        <c:ser>
          <c:idx val="1"/>
          <c:order val="1"/>
          <c:tx>
            <c:strRef>
              <c:f>Sheet1!$A$3</c:f>
              <c:strCache>
                <c:ptCount val="1"/>
                <c:pt idx="0">
                  <c:v>kontrolna</c:v>
                </c:pt>
              </c:strCache>
            </c:strRef>
          </c:tx>
          <c:spPr>
            <a:solidFill>
              <a:srgbClr val="DD2D32"/>
            </a:solidFill>
            <a:ln w="12657">
              <a:solidFill>
                <a:srgbClr val="000000"/>
              </a:solidFill>
              <a:prstDash val="solid"/>
            </a:ln>
          </c:spPr>
          <c:invertIfNegative val="0"/>
          <c:cat>
            <c:strRef>
              <c:f>Sheet1!$B$1:$E$1</c:f>
              <c:strCache>
                <c:ptCount val="4"/>
                <c:pt idx="0">
                  <c:v>wykonanie zadania</c:v>
                </c:pt>
                <c:pt idx="1">
                  <c:v>wypisanie danych</c:v>
                </c:pt>
                <c:pt idx="2">
                  <c:v>rysunek</c:v>
                </c:pt>
                <c:pt idx="3">
                  <c:v>próba rozwiązania</c:v>
                </c:pt>
              </c:strCache>
            </c:strRef>
          </c:cat>
          <c:val>
            <c:numRef>
              <c:f>Sheet1!$B$3:$E$3</c:f>
              <c:numCache>
                <c:formatCode>0.00%</c:formatCode>
                <c:ptCount val="4"/>
                <c:pt idx="0">
                  <c:v>0.189</c:v>
                </c:pt>
                <c:pt idx="1">
                  <c:v>0.188</c:v>
                </c:pt>
                <c:pt idx="2" formatCode="General">
                  <c:v>0.03</c:v>
                </c:pt>
                <c:pt idx="3" formatCode="General">
                  <c:v>0.5</c:v>
                </c:pt>
              </c:numCache>
            </c:numRef>
          </c:val>
        </c:ser>
        <c:dLbls>
          <c:showLegendKey val="0"/>
          <c:showVal val="0"/>
          <c:showCatName val="0"/>
          <c:showSerName val="0"/>
          <c:showPercent val="0"/>
          <c:showBubbleSize val="0"/>
        </c:dLbls>
        <c:gapWidth val="150"/>
        <c:gapDepth val="0"/>
        <c:shape val="box"/>
        <c:axId val="2106422904"/>
        <c:axId val="2106158360"/>
        <c:axId val="0"/>
      </c:bar3DChart>
      <c:catAx>
        <c:axId val="2106422904"/>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22" b="1" i="0" u="none" strike="noStrike" baseline="0">
                <a:solidFill>
                  <a:srgbClr val="000000"/>
                </a:solidFill>
                <a:latin typeface="Arial"/>
                <a:ea typeface="Arial"/>
                <a:cs typeface="Arial"/>
              </a:defRPr>
            </a:pPr>
            <a:endParaRPr lang="en-US"/>
          </a:p>
        </c:txPr>
        <c:crossAx val="2106158360"/>
        <c:crosses val="autoZero"/>
        <c:auto val="1"/>
        <c:lblAlgn val="ctr"/>
        <c:lblOffset val="100"/>
        <c:tickLblSkip val="1"/>
        <c:tickMarkSkip val="1"/>
        <c:noMultiLvlLbl val="0"/>
      </c:catAx>
      <c:valAx>
        <c:axId val="2106158360"/>
        <c:scaling>
          <c:orientation val="minMax"/>
          <c:max val="1.0"/>
        </c:scaling>
        <c:delete val="0"/>
        <c:axPos val="l"/>
        <c:majorGridlines>
          <c:spPr>
            <a:ln w="12657">
              <a:solidFill>
                <a:srgbClr val="969696"/>
              </a:solidFill>
              <a:prstDash val="solid"/>
            </a:ln>
          </c:spPr>
        </c:majorGridlines>
        <c:title>
          <c:tx>
            <c:rich>
              <a:bodyPr/>
              <a:lstStyle/>
              <a:p>
                <a:pPr>
                  <a:defRPr sz="822" b="1" i="0" u="none" strike="noStrike" baseline="0">
                    <a:solidFill>
                      <a:srgbClr val="000000"/>
                    </a:solidFill>
                    <a:latin typeface="Arial"/>
                    <a:ea typeface="Arial"/>
                    <a:cs typeface="Arial"/>
                  </a:defRPr>
                </a:pPr>
                <a:r>
                  <a:rPr lang="en-US"/>
                  <a:t>Liczebność</a:t>
                </a:r>
              </a:p>
            </c:rich>
          </c:tx>
          <c:layout>
            <c:manualLayout>
              <c:xMode val="edge"/>
              <c:yMode val="edge"/>
              <c:x val="0.0"/>
              <c:y val="0.0738916256157635"/>
            </c:manualLayout>
          </c:layout>
          <c:overlay val="0"/>
          <c:spPr>
            <a:noFill/>
            <a:ln w="25314">
              <a:noFill/>
            </a:ln>
          </c:spPr>
        </c:title>
        <c:numFmt formatCode="0%" sourceLinked="0"/>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en-US"/>
          </a:p>
        </c:txPr>
        <c:crossAx val="2106422904"/>
        <c:crosses val="autoZero"/>
        <c:crossBetween val="between"/>
        <c:majorUnit val="0.5"/>
        <c:minorUnit val="0.5"/>
      </c:valAx>
      <c:spPr>
        <a:noFill/>
        <a:ln w="25314">
          <a:noFill/>
        </a:ln>
      </c:spPr>
    </c:plotArea>
    <c:legend>
      <c:legendPos val="r"/>
      <c:layout>
        <c:manualLayout>
          <c:xMode val="edge"/>
          <c:yMode val="edge"/>
          <c:x val="0.511111111111111"/>
          <c:y val="0.0541871921182266"/>
          <c:w val="0.251111111111111"/>
          <c:h val="0.330049261083744"/>
        </c:manualLayout>
      </c:layout>
      <c:overlay val="0"/>
      <c:spPr>
        <a:noFill/>
        <a:ln w="25314">
          <a:noFill/>
        </a:ln>
      </c:spPr>
      <c:txPr>
        <a:bodyPr/>
        <a:lstStyle/>
        <a:p>
          <a:pPr>
            <a:defRPr sz="917"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9014</Words>
  <Characters>51381</Characters>
  <Application>Microsoft Macintosh Word</Application>
  <DocSecurity>0</DocSecurity>
  <Lines>428</Lines>
  <Paragraphs>120</Paragraphs>
  <ScaleCrop>false</ScaleCrop>
  <Company/>
  <LinksUpToDate>false</LinksUpToDate>
  <CharactersWithSpaces>60275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witam</dc:creator>
  <cp:keywords/>
  <dc:description/>
  <cp:lastModifiedBy>witam</cp:lastModifiedBy>
  <cp:revision>2</cp:revision>
  <cp:lastPrinted>2013-12-03T19:01:00Z</cp:lastPrinted>
  <dcterms:created xsi:type="dcterms:W3CDTF">2014-01-13T17:21:00Z</dcterms:created>
  <dcterms:modified xsi:type="dcterms:W3CDTF">2014-01-13T17:21:00Z</dcterms:modified>
</cp:coreProperties>
</file>